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asciiTheme="majorEastAsia" w:hAnsiTheme="majorEastAsia" w:eastAsiaTheme="majorEastAsia" w:cstheme="majorEastAsia"/>
          <w:sz w:val="32"/>
          <w:szCs w:val="32"/>
        </w:rPr>
      </w:pPr>
    </w:p>
    <w:p>
      <w:pPr>
        <w:tabs>
          <w:tab w:val="left" w:pos="851"/>
        </w:tabs>
        <w:ind w:left="850" w:leftChars="405"/>
        <w:jc w:val="center"/>
        <w:rPr>
          <w:rFonts w:asciiTheme="majorEastAsia" w:hAnsiTheme="majorEastAsia" w:eastAsiaTheme="majorEastAsia" w:cstheme="majorEastAsia"/>
          <w:sz w:val="32"/>
          <w:szCs w:val="32"/>
        </w:rPr>
      </w:pPr>
    </w:p>
    <w:p>
      <w:pPr>
        <w:tabs>
          <w:tab w:val="left" w:pos="426"/>
        </w:tabs>
        <w:jc w:val="center"/>
        <w:rPr>
          <w:rFonts w:cs="Arial" w:asciiTheme="minorEastAsia" w:hAnsiTheme="minorEastAsia" w:eastAsiaTheme="minorEastAsia"/>
          <w:b/>
          <w:sz w:val="44"/>
          <w:szCs w:val="44"/>
        </w:rPr>
      </w:pPr>
      <w:r>
        <w:rPr>
          <w:rFonts w:hint="eastAsia" w:cs="Arial" w:asciiTheme="minorEastAsia" w:hAnsiTheme="minorEastAsia" w:eastAsiaTheme="minorEastAsia"/>
          <w:b/>
          <w:sz w:val="44"/>
          <w:szCs w:val="44"/>
        </w:rPr>
        <w:t>安徽新集矿山建设工程有限公司</w:t>
      </w:r>
    </w:p>
    <w:p>
      <w:pPr>
        <w:jc w:val="center"/>
        <w:rPr>
          <w:rFonts w:asciiTheme="minorEastAsia" w:hAnsiTheme="minorEastAsia" w:eastAsiaTheme="minorEastAsia"/>
          <w:b/>
          <w:bCs/>
          <w:sz w:val="44"/>
          <w:szCs w:val="44"/>
        </w:rPr>
      </w:pPr>
    </w:p>
    <w:p>
      <w:pPr>
        <w:jc w:val="center"/>
        <w:rPr>
          <w:rFonts w:asciiTheme="minorEastAsia" w:hAnsiTheme="minorEastAsia" w:eastAsiaTheme="minorEastAsia"/>
          <w:b/>
          <w:bCs/>
          <w:sz w:val="44"/>
          <w:szCs w:val="44"/>
        </w:rPr>
      </w:pPr>
    </w:p>
    <w:p>
      <w:pPr>
        <w:jc w:val="center"/>
        <w:rPr>
          <w:rFonts w:asciiTheme="minorEastAsia" w:hAnsiTheme="minorEastAsia" w:eastAsiaTheme="minorEastAsia"/>
          <w:b/>
          <w:bCs/>
          <w:sz w:val="44"/>
          <w:szCs w:val="44"/>
        </w:rPr>
      </w:pPr>
    </w:p>
    <w:p>
      <w:pPr>
        <w:jc w:val="center"/>
        <w:rPr>
          <w:rFonts w:asciiTheme="minorEastAsia" w:hAnsiTheme="minorEastAsia" w:eastAsiaTheme="minorEastAsia"/>
          <w:b/>
          <w:bCs/>
          <w:sz w:val="44"/>
          <w:szCs w:val="44"/>
        </w:rPr>
      </w:pPr>
    </w:p>
    <w:p>
      <w:pPr>
        <w:spacing w:afterLines="50" w:line="360" w:lineRule="auto"/>
        <w:jc w:val="center"/>
        <w:rPr>
          <w:rFonts w:cs="Arial" w:asciiTheme="minorEastAsia" w:hAnsiTheme="minorEastAsia" w:eastAsiaTheme="minorEastAsia"/>
          <w:b/>
          <w:sz w:val="44"/>
          <w:szCs w:val="44"/>
        </w:rPr>
      </w:pPr>
      <w:r>
        <w:rPr>
          <w:rFonts w:hint="eastAsia" w:cs="Arial" w:asciiTheme="minorEastAsia" w:hAnsiTheme="minorEastAsia" w:eastAsiaTheme="minorEastAsia"/>
          <w:b/>
          <w:sz w:val="44"/>
          <w:szCs w:val="44"/>
        </w:rPr>
        <w:t>淮南市能源数据中心及数字经济万创园</w:t>
      </w:r>
    </w:p>
    <w:p>
      <w:pPr>
        <w:spacing w:afterLines="50" w:line="360" w:lineRule="auto"/>
        <w:jc w:val="center"/>
        <w:rPr>
          <w:rFonts w:ascii="楷体" w:hAnsi="楷体" w:eastAsia="楷体"/>
          <w:b/>
          <w:sz w:val="44"/>
          <w:szCs w:val="44"/>
        </w:rPr>
      </w:pPr>
      <w:r>
        <w:rPr>
          <w:rFonts w:hint="eastAsia" w:cs="Arial" w:asciiTheme="minorEastAsia" w:hAnsiTheme="minorEastAsia" w:eastAsiaTheme="minorEastAsia"/>
          <w:b/>
          <w:sz w:val="44"/>
          <w:szCs w:val="44"/>
        </w:rPr>
        <w:t>土方外运工程</w:t>
      </w:r>
    </w:p>
    <w:p>
      <w:pPr>
        <w:spacing w:line="360" w:lineRule="auto"/>
        <w:jc w:val="center"/>
        <w:textAlignment w:val="baseline"/>
        <w:rPr>
          <w:rFonts w:ascii="楷体" w:hAnsi="楷体" w:eastAsia="楷体"/>
          <w:b/>
          <w:sz w:val="44"/>
          <w:szCs w:val="44"/>
        </w:rPr>
      </w:pPr>
    </w:p>
    <w:p>
      <w:pPr>
        <w:spacing w:line="360" w:lineRule="auto"/>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招标文件</w:t>
      </w:r>
    </w:p>
    <w:p>
      <w:pPr>
        <w:spacing w:line="360" w:lineRule="auto"/>
        <w:jc w:val="center"/>
        <w:textAlignment w:val="baseline"/>
        <w:rPr>
          <w:rFonts w:ascii="楷体" w:hAnsi="楷体"/>
          <w:b/>
          <w:sz w:val="32"/>
          <w:szCs w:val="32"/>
        </w:rPr>
      </w:pPr>
      <w:r>
        <w:rPr>
          <w:rFonts w:hint="eastAsia"/>
          <w:b/>
          <w:sz w:val="32"/>
          <w:szCs w:val="32"/>
        </w:rPr>
        <w:t>招标文件编号：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招标人：</w:t>
      </w:r>
      <w:r>
        <w:rPr>
          <w:rFonts w:hint="eastAsia"/>
          <w:b/>
          <w:sz w:val="32"/>
          <w:szCs w:val="32"/>
          <w:u w:val="single"/>
        </w:rPr>
        <w:t xml:space="preserve"> 安徽新集矿山建设工程有限公司</w:t>
      </w:r>
    </w:p>
    <w:p>
      <w:pPr>
        <w:spacing w:line="400" w:lineRule="exact"/>
        <w:jc w:val="center"/>
        <w:textAlignment w:val="baseline"/>
        <w:rPr>
          <w:b/>
          <w:bCs/>
          <w:sz w:val="32"/>
          <w:szCs w:val="32"/>
        </w:rPr>
      </w:pPr>
    </w:p>
    <w:p>
      <w:pPr>
        <w:spacing w:line="400" w:lineRule="exact"/>
        <w:jc w:val="center"/>
        <w:textAlignment w:val="baseline"/>
        <w:rPr>
          <w:b/>
          <w:bCs/>
          <w:sz w:val="32"/>
          <w:szCs w:val="32"/>
        </w:rPr>
      </w:pPr>
    </w:p>
    <w:p>
      <w:pPr>
        <w:spacing w:line="400" w:lineRule="exact"/>
        <w:jc w:val="center"/>
        <w:textAlignment w:val="baseline"/>
        <w:rPr>
          <w:b/>
          <w:bCs/>
          <w:sz w:val="32"/>
          <w:szCs w:val="32"/>
        </w:rPr>
      </w:pPr>
    </w:p>
    <w:p>
      <w:pPr>
        <w:spacing w:line="400" w:lineRule="exact"/>
        <w:jc w:val="center"/>
        <w:textAlignment w:val="baseline"/>
        <w:rPr>
          <w:b/>
          <w:sz w:val="32"/>
          <w:szCs w:val="32"/>
        </w:rPr>
      </w:pPr>
      <w:r>
        <w:rPr>
          <w:rFonts w:hint="eastAsia"/>
          <w:b/>
          <w:bCs/>
          <w:sz w:val="32"/>
          <w:szCs w:val="32"/>
        </w:rPr>
        <w:t>二〇二三年十一月八日</w:t>
      </w:r>
    </w:p>
    <w:p>
      <w:pPr>
        <w:tabs>
          <w:tab w:val="left" w:pos="555"/>
        </w:tabs>
        <w:spacing w:line="600" w:lineRule="exact"/>
        <w:jc w:val="center"/>
        <w:textAlignment w:val="baseline"/>
        <w:rPr>
          <w:rFonts w:ascii="宋体" w:hAnsi="宋体" w:cs="宋体"/>
          <w:b/>
          <w:color w:val="000000"/>
          <w:sz w:val="22"/>
          <w:szCs w:val="22"/>
        </w:rPr>
      </w:pPr>
    </w:p>
    <w:p>
      <w:pPr>
        <w:widowControl/>
        <w:jc w:val="left"/>
        <w:rPr>
          <w:rFonts w:ascii="宋体" w:hAnsi="宋体" w:cs="宋体"/>
          <w:b/>
          <w:color w:val="000000"/>
          <w:sz w:val="22"/>
          <w:szCs w:val="22"/>
        </w:rPr>
      </w:pPr>
      <w:r>
        <w:rPr>
          <w:rFonts w:ascii="宋体" w:hAnsi="宋体" w:cs="宋体"/>
          <w:b/>
          <w:color w:val="000000"/>
          <w:sz w:val="22"/>
          <w:szCs w:val="22"/>
        </w:rPr>
        <w:br w:type="page"/>
      </w:r>
    </w:p>
    <w:p>
      <w:pPr>
        <w:tabs>
          <w:tab w:val="left" w:pos="555"/>
        </w:tabs>
        <w:spacing w:line="600" w:lineRule="exact"/>
        <w:jc w:val="center"/>
        <w:textAlignment w:val="baseline"/>
        <w:rPr>
          <w:rFonts w:ascii="宋体" w:hAnsi="宋体" w:cs="宋体"/>
          <w:sz w:val="22"/>
          <w:szCs w:val="22"/>
        </w:rPr>
      </w:pPr>
      <w:r>
        <w:rPr>
          <w:rFonts w:hint="eastAsia" w:ascii="宋体" w:hAnsi="宋体" w:cs="宋体"/>
          <w:b/>
          <w:color w:val="000000"/>
          <w:sz w:val="22"/>
          <w:szCs w:val="22"/>
        </w:rPr>
        <w:t>一、招标原则</w:t>
      </w:r>
    </w:p>
    <w:p>
      <w:pPr>
        <w:tabs>
          <w:tab w:val="left" w:pos="555"/>
        </w:tabs>
        <w:spacing w:line="400" w:lineRule="exact"/>
        <w:textAlignment w:val="baseline"/>
        <w:rPr>
          <w:rFonts w:ascii="宋体" w:hAnsi="宋体" w:cs="宋体"/>
          <w:b/>
          <w:color w:val="000000" w:themeColor="text1"/>
          <w:sz w:val="22"/>
          <w:szCs w:val="22"/>
        </w:rPr>
      </w:pPr>
      <w:r>
        <w:rPr>
          <w:rFonts w:hint="eastAsia" w:ascii="宋体" w:hAnsi="宋体" w:cs="宋体"/>
          <w:b/>
          <w:color w:val="000000" w:themeColor="text1"/>
          <w:sz w:val="22"/>
          <w:szCs w:val="22"/>
        </w:rPr>
        <w:t>第一条 拟定投标人原则：</w:t>
      </w:r>
    </w:p>
    <w:p>
      <w:pPr>
        <w:tabs>
          <w:tab w:val="left" w:pos="555"/>
        </w:tabs>
        <w:spacing w:line="400" w:lineRule="exact"/>
        <w:ind w:firstLine="440" w:firstLineChars="200"/>
        <w:textAlignment w:val="baseline"/>
        <w:rPr>
          <w:rFonts w:ascii="宋体" w:hAnsi="宋体" w:cs="宋体"/>
          <w:color w:val="000000" w:themeColor="text1"/>
          <w:sz w:val="22"/>
          <w:szCs w:val="22"/>
        </w:rPr>
      </w:pPr>
      <w:r>
        <w:rPr>
          <w:rFonts w:hint="eastAsia" w:ascii="宋体" w:hAnsi="宋体" w:cs="宋体"/>
          <w:color w:val="000000" w:themeColor="text1"/>
          <w:sz w:val="22"/>
          <w:szCs w:val="22"/>
        </w:rPr>
        <w:t>1. 本招标工程面向的投标人是</w:t>
      </w:r>
      <w:r>
        <w:rPr>
          <w:rFonts w:ascii="宋体" w:hAnsi="宋体" w:cs="宋体"/>
          <w:b/>
          <w:bCs/>
          <w:sz w:val="24"/>
          <w:u w:val="single"/>
        </w:rPr>
        <w:t>淮南市渣土办入库企业</w:t>
      </w:r>
      <w:r>
        <w:rPr>
          <w:rFonts w:hint="eastAsia" w:ascii="宋体" w:hAnsi="宋体" w:cs="宋体"/>
          <w:color w:val="000000" w:themeColor="text1"/>
          <w:sz w:val="22"/>
          <w:szCs w:val="22"/>
        </w:rPr>
        <w:t>。</w:t>
      </w:r>
    </w:p>
    <w:p>
      <w:pPr>
        <w:snapToGrid w:val="0"/>
        <w:spacing w:line="400" w:lineRule="exact"/>
        <w:ind w:firstLine="440" w:firstLineChars="200"/>
        <w:textAlignment w:val="baseline"/>
        <w:rPr>
          <w:rFonts w:ascii="宋体" w:hAnsi="宋体" w:cs="宋体"/>
          <w:color w:val="000000" w:themeColor="text1"/>
          <w:sz w:val="22"/>
          <w:szCs w:val="22"/>
        </w:rPr>
      </w:pPr>
      <w:r>
        <w:rPr>
          <w:rFonts w:hint="eastAsia" w:ascii="宋体" w:hAnsi="宋体" w:cs="宋体"/>
          <w:color w:val="000000" w:themeColor="text1"/>
          <w:sz w:val="22"/>
          <w:szCs w:val="22"/>
        </w:rPr>
        <w:t>2. 有投标意向的具备相应专业资质的企业需具有履行合同所必须的设备材料和专业技术能力，具有良好的商业信誉和健全的财务制度。</w:t>
      </w:r>
    </w:p>
    <w:p>
      <w:pPr>
        <w:tabs>
          <w:tab w:val="left" w:pos="555"/>
        </w:tabs>
        <w:spacing w:line="400" w:lineRule="exact"/>
        <w:textAlignment w:val="baseline"/>
        <w:rPr>
          <w:rFonts w:ascii="宋体" w:hAnsi="宋体" w:cs="宋体"/>
          <w:b/>
          <w:color w:val="000000" w:themeColor="text1"/>
          <w:sz w:val="22"/>
          <w:szCs w:val="22"/>
          <w:u w:val="single"/>
        </w:rPr>
      </w:pPr>
      <w:r>
        <w:rPr>
          <w:rFonts w:hint="eastAsia" w:ascii="宋体" w:hAnsi="宋体" w:cs="宋体"/>
          <w:b/>
          <w:color w:val="000000" w:themeColor="text1"/>
          <w:sz w:val="22"/>
          <w:szCs w:val="22"/>
        </w:rPr>
        <w:t>第二条 招标文件的澄清</w:t>
      </w:r>
    </w:p>
    <w:p>
      <w:pPr>
        <w:tabs>
          <w:tab w:val="left" w:pos="555"/>
        </w:tabs>
        <w:spacing w:line="400" w:lineRule="exact"/>
        <w:ind w:firstLine="440" w:firstLineChars="200"/>
        <w:textAlignment w:val="baseline"/>
        <w:rPr>
          <w:rFonts w:ascii="宋体" w:hAnsi="宋体" w:cs="宋体"/>
          <w:b/>
          <w:sz w:val="22"/>
          <w:szCs w:val="22"/>
        </w:rPr>
      </w:pPr>
      <w:r>
        <w:rPr>
          <w:rFonts w:hint="eastAsia" w:ascii="宋体" w:hAnsi="宋体" w:cs="宋体"/>
          <w:color w:val="000000" w:themeColor="text1"/>
          <w:sz w:val="22"/>
          <w:szCs w:val="22"/>
        </w:rPr>
        <w:t>招标文件是招标人依据有关法律法规以及分包工程项目的特点和需要编制的，用以阐明工程发包范围、工作内容、标准和要求，技术规范、标准以及表格和补充条款、合同条款，招投标程序、竞价办法等项内容，是投标人编制投标文件的依据，投标人应认真审阅招标文件的内容来编织投标文件。如果投标人的投标文件不能实质性地响应招标文件要求，责任由投标人自负。</w:t>
      </w:r>
    </w:p>
    <w:p>
      <w:pPr>
        <w:tabs>
          <w:tab w:val="left" w:pos="555"/>
        </w:tabs>
        <w:spacing w:line="400" w:lineRule="exact"/>
        <w:textAlignment w:val="baseline"/>
        <w:rPr>
          <w:rFonts w:ascii="宋体" w:hAnsi="宋体" w:cs="宋体"/>
          <w:sz w:val="22"/>
          <w:szCs w:val="22"/>
        </w:rPr>
      </w:pPr>
      <w:r>
        <w:rPr>
          <w:rFonts w:hint="eastAsia" w:ascii="宋体" w:hAnsi="宋体" w:cs="宋体"/>
          <w:b/>
          <w:sz w:val="22"/>
          <w:szCs w:val="22"/>
        </w:rPr>
        <w:t>第三条 评审与定标原则：</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1.本工程由招标人组织的评审人员进行评审。</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2.评审：</w:t>
      </w:r>
      <w:r>
        <w:rPr>
          <w:rFonts w:hint="eastAsia" w:ascii="宋体" w:hAnsi="宋体" w:cs="宋体"/>
          <w:color w:val="000000"/>
          <w:sz w:val="22"/>
          <w:szCs w:val="22"/>
        </w:rPr>
        <w:t>由招标人自行组织人员进行评审，招标人设有最高投标限价并在</w:t>
      </w:r>
      <w:r>
        <w:rPr>
          <w:rFonts w:hint="eastAsia" w:ascii="宋体" w:hAnsi="宋体" w:cs="宋体"/>
          <w:color w:val="000000" w:themeColor="text1"/>
          <w:sz w:val="22"/>
          <w:szCs w:val="22"/>
        </w:rPr>
        <w:t>评审现场</w:t>
      </w:r>
      <w:r>
        <w:rPr>
          <w:rFonts w:hint="eastAsia" w:ascii="宋体" w:hAnsi="宋体" w:cs="宋体"/>
          <w:sz w:val="22"/>
          <w:szCs w:val="22"/>
        </w:rPr>
        <w:t>公</w:t>
      </w:r>
      <w:r>
        <w:rPr>
          <w:rFonts w:hint="eastAsia" w:ascii="宋体" w:hAnsi="宋体" w:cs="宋体"/>
          <w:color w:val="000000"/>
          <w:sz w:val="22"/>
          <w:szCs w:val="22"/>
        </w:rPr>
        <w:t>布，超过最高限价的投标将被否定,招标人不保证最低投标为</w:t>
      </w:r>
      <w:r>
        <w:rPr>
          <w:rFonts w:hint="eastAsia" w:ascii="宋体" w:hAnsi="宋体" w:cs="宋体"/>
          <w:sz w:val="22"/>
          <w:szCs w:val="22"/>
        </w:rPr>
        <w:t>中标价。招标人无需对中标合理性向任何投标人作出解释。</w:t>
      </w:r>
    </w:p>
    <w:p>
      <w:pPr>
        <w:spacing w:line="400" w:lineRule="exact"/>
        <w:ind w:right="185" w:firstLine="440" w:firstLineChars="200"/>
        <w:textAlignment w:val="baseline"/>
        <w:rPr>
          <w:rFonts w:ascii="宋体" w:hAnsi="宋体" w:cs="宋体"/>
          <w:sz w:val="22"/>
          <w:szCs w:val="22"/>
        </w:rPr>
      </w:pPr>
      <w:r>
        <w:rPr>
          <w:rFonts w:hint="eastAsia" w:ascii="宋体" w:hAnsi="宋体" w:cs="宋体"/>
          <w:sz w:val="22"/>
          <w:szCs w:val="22"/>
        </w:rPr>
        <w:t>3.定标：本次招标达到三家及以上公司前来投标，经招标人考察合格后，合理低价中标；只有两家投标人则转为竞争性谈判；只有一家投标人转为单一谈判。</w:t>
      </w:r>
    </w:p>
    <w:p>
      <w:pPr>
        <w:spacing w:line="400" w:lineRule="exact"/>
        <w:ind w:right="185" w:firstLine="440" w:firstLineChars="200"/>
        <w:textAlignment w:val="baseline"/>
        <w:rPr>
          <w:rFonts w:ascii="宋体" w:hAnsi="宋体" w:cs="宋体"/>
          <w:color w:val="000000"/>
          <w:sz w:val="22"/>
          <w:szCs w:val="22"/>
        </w:rPr>
      </w:pPr>
      <w:r>
        <w:rPr>
          <w:rFonts w:hint="eastAsia" w:ascii="宋体" w:hAnsi="宋体" w:cs="宋体"/>
          <w:sz w:val="22"/>
          <w:szCs w:val="22"/>
        </w:rPr>
        <w:t>4.严禁投标人以任何形式围标、串标，如发现投标人有围标、串标行为，没收投标保证金，永久清理出招标人合作供应商范围，并由投标人承担由此带来的所有责</w:t>
      </w:r>
      <w:r>
        <w:rPr>
          <w:rFonts w:hint="eastAsia" w:ascii="宋体" w:hAnsi="宋体" w:cs="宋体"/>
          <w:color w:val="000000"/>
          <w:sz w:val="22"/>
          <w:szCs w:val="22"/>
        </w:rPr>
        <w:t>任。</w:t>
      </w:r>
    </w:p>
    <w:p>
      <w:pPr>
        <w:spacing w:line="400" w:lineRule="exact"/>
        <w:ind w:right="185"/>
        <w:textAlignment w:val="baseline"/>
        <w:rPr>
          <w:rFonts w:ascii="宋体" w:hAnsi="宋体" w:cs="宋体"/>
          <w:b/>
          <w:sz w:val="22"/>
          <w:szCs w:val="22"/>
        </w:rPr>
      </w:pPr>
      <w:r>
        <w:rPr>
          <w:rFonts w:hint="eastAsia" w:ascii="宋体" w:hAnsi="宋体" w:cs="宋体"/>
          <w:b/>
          <w:sz w:val="22"/>
          <w:szCs w:val="22"/>
        </w:rPr>
        <w:t>第四条 合同授予原则：</w:t>
      </w:r>
    </w:p>
    <w:p>
      <w:pPr>
        <w:tabs>
          <w:tab w:val="left" w:pos="555"/>
        </w:tabs>
        <w:spacing w:line="400" w:lineRule="exact"/>
        <w:ind w:firstLine="539" w:firstLineChars="245"/>
        <w:textAlignment w:val="baseline"/>
        <w:rPr>
          <w:rFonts w:ascii="宋体" w:hAnsi="宋体" w:cs="宋体"/>
          <w:color w:val="000000"/>
          <w:sz w:val="22"/>
          <w:szCs w:val="22"/>
        </w:rPr>
      </w:pPr>
      <w:r>
        <w:rPr>
          <w:rFonts w:hint="eastAsia" w:ascii="宋体" w:hAnsi="宋体" w:cs="宋体"/>
          <w:color w:val="000000"/>
          <w:sz w:val="22"/>
          <w:szCs w:val="22"/>
        </w:rPr>
        <w:t>1.竞价结束后，招标人将本次招标结果通知到每个投标人。</w:t>
      </w:r>
    </w:p>
    <w:p>
      <w:pPr>
        <w:tabs>
          <w:tab w:val="left" w:pos="555"/>
        </w:tabs>
        <w:spacing w:line="400" w:lineRule="exact"/>
        <w:ind w:firstLine="539" w:firstLineChars="245"/>
        <w:textAlignment w:val="baseline"/>
        <w:rPr>
          <w:rFonts w:ascii="宋体" w:hAnsi="宋体" w:cs="宋体"/>
          <w:color w:val="000000"/>
          <w:sz w:val="22"/>
          <w:szCs w:val="22"/>
        </w:rPr>
      </w:pPr>
      <w:r>
        <w:rPr>
          <w:rFonts w:hint="eastAsia" w:ascii="宋体" w:hAnsi="宋体" w:cs="宋体"/>
          <w:color w:val="000000"/>
          <w:sz w:val="22"/>
          <w:szCs w:val="22"/>
        </w:rPr>
        <w:t>2.</w:t>
      </w:r>
      <w:r>
        <w:rPr>
          <w:rFonts w:hint="eastAsia" w:ascii="宋体" w:hAnsi="宋体" w:cs="宋体"/>
          <w:sz w:val="22"/>
          <w:szCs w:val="22"/>
        </w:rPr>
        <w:t>被采纳单位收到《通知书》后</w:t>
      </w:r>
      <w:r>
        <w:rPr>
          <w:rFonts w:hint="eastAsia" w:ascii="宋体" w:hAnsi="宋体" w:cs="宋体"/>
          <w:color w:val="000000"/>
          <w:sz w:val="22"/>
          <w:szCs w:val="22"/>
        </w:rPr>
        <w:t xml:space="preserve">，应在 </w:t>
      </w:r>
      <w:r>
        <w:rPr>
          <w:rFonts w:hint="eastAsia" w:ascii="宋体" w:hAnsi="宋体" w:cs="宋体"/>
          <w:color w:val="000000"/>
          <w:sz w:val="22"/>
          <w:szCs w:val="22"/>
          <w:u w:val="single" w:color="000000"/>
        </w:rPr>
        <w:t>7</w:t>
      </w:r>
      <w:r>
        <w:rPr>
          <w:rFonts w:hint="eastAsia" w:ascii="宋体" w:hAnsi="宋体" w:cs="宋体"/>
          <w:color w:val="000000"/>
          <w:sz w:val="22"/>
          <w:szCs w:val="22"/>
        </w:rPr>
        <w:t xml:space="preserve"> 日内与招标人签订施工合同。投标人不按规定与招标人订立合同的，招标人将保留取消投标人</w:t>
      </w:r>
      <w:r>
        <w:rPr>
          <w:rFonts w:hint="eastAsia" w:ascii="宋体" w:hAnsi="宋体" w:cs="宋体"/>
          <w:sz w:val="22"/>
          <w:szCs w:val="22"/>
        </w:rPr>
        <w:t>被采纳资格</w:t>
      </w:r>
      <w:r>
        <w:rPr>
          <w:rFonts w:hint="eastAsia" w:ascii="宋体" w:hAnsi="宋体" w:cs="宋体"/>
          <w:color w:val="000000"/>
          <w:sz w:val="22"/>
          <w:szCs w:val="22"/>
        </w:rPr>
        <w:t>和追究损失赔偿的权利。</w:t>
      </w:r>
    </w:p>
    <w:p>
      <w:pPr>
        <w:tabs>
          <w:tab w:val="left" w:pos="555"/>
        </w:tabs>
        <w:spacing w:line="400" w:lineRule="exact"/>
        <w:ind w:firstLine="539" w:firstLineChars="245"/>
        <w:textAlignment w:val="baseline"/>
        <w:rPr>
          <w:rFonts w:ascii="宋体" w:hAnsi="宋体" w:cs="宋体"/>
          <w:color w:val="000000"/>
          <w:sz w:val="22"/>
          <w:szCs w:val="22"/>
        </w:rPr>
      </w:pPr>
      <w:r>
        <w:rPr>
          <w:rFonts w:hint="eastAsia" w:ascii="宋体" w:hAnsi="宋体" w:cs="宋体"/>
          <w:sz w:val="22"/>
          <w:szCs w:val="22"/>
        </w:rPr>
        <w:t>3.全部</w:t>
      </w:r>
      <w:r>
        <w:rPr>
          <w:rFonts w:hint="eastAsia" w:ascii="宋体" w:hAnsi="宋体" w:cs="宋体"/>
          <w:color w:val="000000"/>
          <w:sz w:val="22"/>
          <w:szCs w:val="22"/>
        </w:rPr>
        <w:t>投标文件资料作为合同签订的有关依据，与合同同样具有相应的法律效力。</w:t>
      </w:r>
    </w:p>
    <w:p>
      <w:pPr>
        <w:tabs>
          <w:tab w:val="left" w:pos="555"/>
        </w:tabs>
        <w:spacing w:line="400" w:lineRule="exact"/>
        <w:textAlignment w:val="baseline"/>
        <w:rPr>
          <w:rFonts w:ascii="宋体" w:hAnsi="宋体" w:cs="宋体"/>
          <w:b/>
          <w:bCs/>
          <w:sz w:val="22"/>
          <w:szCs w:val="22"/>
        </w:rPr>
      </w:pPr>
      <w:r>
        <w:rPr>
          <w:rFonts w:hint="eastAsia" w:ascii="宋体" w:hAnsi="宋体" w:cs="宋体"/>
          <w:b/>
          <w:bCs/>
          <w:sz w:val="22"/>
          <w:szCs w:val="22"/>
        </w:rPr>
        <w:t>第五条 招标人与招标联系人：</w:t>
      </w:r>
    </w:p>
    <w:p>
      <w:pPr>
        <w:tabs>
          <w:tab w:val="left" w:pos="555"/>
        </w:tabs>
        <w:spacing w:line="400" w:lineRule="exact"/>
        <w:ind w:firstLine="539" w:firstLineChars="245"/>
        <w:textAlignment w:val="baseline"/>
        <w:rPr>
          <w:rFonts w:ascii="宋体" w:hAnsi="宋体" w:cs="宋体"/>
          <w:sz w:val="22"/>
          <w:szCs w:val="22"/>
        </w:rPr>
      </w:pPr>
      <w:r>
        <w:rPr>
          <w:rFonts w:hint="eastAsia" w:ascii="宋体" w:hAnsi="宋体" w:cs="宋体"/>
          <w:sz w:val="22"/>
          <w:szCs w:val="22"/>
        </w:rPr>
        <w:t>招标人：安徽新集矿山建设工程有限公司</w:t>
      </w:r>
    </w:p>
    <w:p>
      <w:pPr>
        <w:tabs>
          <w:tab w:val="left" w:pos="555"/>
        </w:tabs>
        <w:spacing w:line="400" w:lineRule="exact"/>
        <w:ind w:firstLine="539" w:firstLineChars="245"/>
        <w:textAlignment w:val="baseline"/>
        <w:rPr>
          <w:rFonts w:ascii="宋体" w:hAnsi="宋体" w:cs="宋体"/>
          <w:sz w:val="22"/>
          <w:szCs w:val="22"/>
        </w:rPr>
      </w:pPr>
      <w:r>
        <w:rPr>
          <w:rFonts w:hint="eastAsia" w:ascii="宋体" w:hAnsi="宋体" w:cs="宋体"/>
          <w:sz w:val="22"/>
          <w:szCs w:val="22"/>
        </w:rPr>
        <w:t>现场联系人: 王  磊</w:t>
      </w:r>
      <w:r>
        <w:rPr>
          <w:rFonts w:hint="eastAsia" w:ascii="宋体" w:hAnsi="宋体" w:cs="宋体"/>
          <w:color w:val="000000"/>
          <w:sz w:val="22"/>
          <w:szCs w:val="22"/>
        </w:rPr>
        <w:t>17855442472</w:t>
      </w:r>
    </w:p>
    <w:p>
      <w:pPr>
        <w:tabs>
          <w:tab w:val="left" w:pos="555"/>
        </w:tabs>
        <w:spacing w:line="400" w:lineRule="exact"/>
        <w:ind w:firstLine="539" w:firstLineChars="245"/>
        <w:textAlignment w:val="baseline"/>
        <w:rPr>
          <w:rFonts w:ascii="宋体" w:hAnsi="宋体" w:cs="宋体"/>
          <w:sz w:val="22"/>
          <w:szCs w:val="22"/>
        </w:rPr>
      </w:pPr>
      <w:r>
        <w:rPr>
          <w:rFonts w:hint="eastAsia" w:ascii="宋体" w:hAnsi="宋体" w:cs="宋体"/>
          <w:sz w:val="22"/>
          <w:szCs w:val="22"/>
        </w:rPr>
        <w:t>商务联系人: 石多梅</w:t>
      </w:r>
      <w:r>
        <w:rPr>
          <w:rFonts w:hint="eastAsia" w:ascii="宋体" w:hAnsi="宋体" w:cs="宋体"/>
          <w:color w:val="000000"/>
          <w:sz w:val="22"/>
          <w:szCs w:val="22"/>
        </w:rPr>
        <w:t>18305546752</w:t>
      </w:r>
    </w:p>
    <w:p>
      <w:pPr>
        <w:tabs>
          <w:tab w:val="left" w:pos="555"/>
        </w:tabs>
        <w:spacing w:line="400" w:lineRule="exact"/>
        <w:jc w:val="center"/>
        <w:textAlignment w:val="baseline"/>
        <w:rPr>
          <w:rFonts w:hint="eastAsia" w:ascii="宋体" w:hAnsi="宋体" w:cs="宋体"/>
          <w:b/>
          <w:color w:val="000000"/>
          <w:sz w:val="22"/>
          <w:szCs w:val="22"/>
        </w:rPr>
      </w:pPr>
    </w:p>
    <w:p>
      <w:pPr>
        <w:tabs>
          <w:tab w:val="left" w:pos="555"/>
        </w:tabs>
        <w:spacing w:line="400" w:lineRule="exact"/>
        <w:jc w:val="center"/>
        <w:textAlignment w:val="baseline"/>
        <w:rPr>
          <w:rFonts w:ascii="宋体" w:hAnsi="宋体" w:cs="宋体"/>
          <w:b/>
          <w:color w:val="000000"/>
          <w:sz w:val="22"/>
          <w:szCs w:val="22"/>
        </w:rPr>
      </w:pPr>
      <w:r>
        <w:rPr>
          <w:rFonts w:hint="eastAsia" w:ascii="宋体" w:hAnsi="宋体" w:cs="宋体"/>
          <w:b/>
          <w:color w:val="000000"/>
          <w:sz w:val="22"/>
          <w:szCs w:val="22"/>
        </w:rPr>
        <w:t>二、发包范围、工作内容目标及要求</w:t>
      </w:r>
    </w:p>
    <w:p>
      <w:pPr>
        <w:tabs>
          <w:tab w:val="left" w:pos="555"/>
        </w:tabs>
        <w:spacing w:line="400" w:lineRule="exact"/>
        <w:textAlignment w:val="baseline"/>
        <w:rPr>
          <w:rFonts w:ascii="宋体" w:hAnsi="宋体" w:cs="宋体"/>
          <w:b/>
          <w:sz w:val="22"/>
          <w:szCs w:val="22"/>
        </w:rPr>
      </w:pPr>
      <w:r>
        <w:rPr>
          <w:rFonts w:hint="eastAsia" w:ascii="宋体" w:hAnsi="宋体" w:cs="宋体"/>
          <w:b/>
          <w:sz w:val="22"/>
          <w:szCs w:val="22"/>
        </w:rPr>
        <w:t>第六条 工程概况：</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1.工程名称：淮南市能源数据中心及数字经济万创园土方外运工程</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2.工程地点：淮南市山南高新区智慧谷</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3.施工单位：安徽新集矿山建设工程有限公司</w:t>
      </w:r>
    </w:p>
    <w:p>
      <w:pPr>
        <w:tabs>
          <w:tab w:val="left" w:pos="555"/>
        </w:tabs>
        <w:spacing w:line="400" w:lineRule="exact"/>
        <w:textAlignment w:val="baseline"/>
        <w:rPr>
          <w:rFonts w:ascii="宋体" w:hAnsi="宋体" w:cs="宋体"/>
          <w:color w:val="000000"/>
          <w:sz w:val="22"/>
          <w:szCs w:val="22"/>
        </w:rPr>
      </w:pPr>
      <w:r>
        <w:rPr>
          <w:rFonts w:hint="eastAsia" w:ascii="宋体" w:hAnsi="宋体" w:cs="宋体"/>
          <w:b/>
          <w:color w:val="000000"/>
          <w:sz w:val="22"/>
          <w:szCs w:val="22"/>
        </w:rPr>
        <w:t>第七条  现场情况介绍</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1.现场场地:</w:t>
      </w:r>
      <w:r>
        <w:rPr>
          <w:rFonts w:hint="eastAsia" w:ascii="宋体" w:hAnsi="宋体" w:cs="宋体"/>
          <w:color w:val="000000"/>
          <w:sz w:val="22"/>
          <w:szCs w:val="22"/>
        </w:rPr>
        <w:t xml:space="preserve"> 场地内部三通一平，具备施工条件。</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2.现场临时设施：招标人提供工程现场临时用水、用电，用水、用电等费用由投标人承担。</w:t>
      </w:r>
    </w:p>
    <w:p>
      <w:pPr>
        <w:tabs>
          <w:tab w:val="left" w:pos="555"/>
        </w:tabs>
        <w:spacing w:line="400" w:lineRule="exact"/>
        <w:ind w:firstLine="220" w:firstLineChars="100"/>
        <w:textAlignment w:val="baseline"/>
        <w:rPr>
          <w:rFonts w:ascii="宋体" w:hAnsi="宋体" w:cs="宋体"/>
          <w:color w:val="000000"/>
          <w:sz w:val="22"/>
          <w:szCs w:val="22"/>
        </w:rPr>
      </w:pPr>
      <w:r>
        <w:rPr>
          <w:rFonts w:hint="eastAsia" w:ascii="宋体" w:hAnsi="宋体" w:cs="宋体"/>
          <w:sz w:val="22"/>
          <w:szCs w:val="22"/>
        </w:rPr>
        <w:t>3.临时用电用水：招标人提供临时用电至二级配电箱，二级配电箱以后的所有照明、动力电缆、开关箱及相关配件材料等均由投标人负责。现场施工用水以及相关配件均含在分包范围。</w:t>
      </w:r>
    </w:p>
    <w:p>
      <w:pPr>
        <w:tabs>
          <w:tab w:val="left" w:pos="555"/>
        </w:tabs>
        <w:spacing w:line="400" w:lineRule="exact"/>
        <w:textAlignment w:val="baseline"/>
        <w:rPr>
          <w:rFonts w:ascii="宋体" w:hAnsi="宋体" w:cs="宋体"/>
          <w:b/>
          <w:color w:val="000000"/>
          <w:sz w:val="22"/>
          <w:szCs w:val="22"/>
        </w:rPr>
      </w:pPr>
      <w:r>
        <w:rPr>
          <w:rFonts w:hint="eastAsia" w:ascii="宋体" w:hAnsi="宋体" w:cs="宋体"/>
          <w:b/>
          <w:color w:val="000000"/>
          <w:sz w:val="22"/>
          <w:szCs w:val="22"/>
        </w:rPr>
        <w:t>第八条  发包范围、工作内容包括：</w:t>
      </w:r>
    </w:p>
    <w:p>
      <w:pPr>
        <w:tabs>
          <w:tab w:val="left" w:pos="555"/>
        </w:tabs>
        <w:spacing w:line="400" w:lineRule="exact"/>
        <w:ind w:firstLine="220" w:firstLineChars="100"/>
        <w:textAlignment w:val="baseline"/>
        <w:rPr>
          <w:rFonts w:hint="eastAsia" w:ascii="宋体" w:hAnsi="宋体" w:eastAsia="宋体" w:cs="宋体"/>
          <w:bCs/>
          <w:sz w:val="22"/>
          <w:szCs w:val="22"/>
          <w:lang w:eastAsia="zh-CN"/>
        </w:rPr>
      </w:pPr>
      <w:r>
        <w:rPr>
          <w:rFonts w:hint="eastAsia" w:ascii="宋体" w:hAnsi="宋体" w:cs="宋体"/>
          <w:bCs/>
          <w:sz w:val="22"/>
          <w:szCs w:val="22"/>
        </w:rPr>
        <w:t>1.投标报价方式：</w:t>
      </w:r>
      <w:r>
        <w:rPr>
          <w:rFonts w:hint="eastAsia" w:ascii="宋体" w:hAnsi="宋体" w:cs="宋体"/>
          <w:b/>
          <w:sz w:val="22"/>
          <w:szCs w:val="22"/>
          <w:u w:val="single"/>
        </w:rPr>
        <w:t>单价形式</w:t>
      </w:r>
      <w:r>
        <w:rPr>
          <w:rFonts w:hint="eastAsia" w:ascii="宋体" w:hAnsi="宋体" w:cs="宋体"/>
          <w:bCs/>
          <w:sz w:val="22"/>
          <w:szCs w:val="22"/>
        </w:rPr>
        <w:t>；</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2.发包范围：万创园工程指定区域土方开挖外运（现场好土弃土点淮桐高速与合淮路交汇处3km范围，现场杂填土、淤泥、垃圾土等自行考虑弃土点）；</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3.发包工程量：本工程工程量79120m³；</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4.承包范围包括但不限于：土方的开挖、运输、修坡、弃土、道路通行、排水、</w:t>
      </w:r>
      <w:r>
        <w:rPr>
          <w:rFonts w:hint="eastAsia" w:ascii="宋体" w:hAnsi="宋体" w:eastAsia="宋体" w:cs="宋体"/>
          <w:sz w:val="22"/>
          <w:szCs w:val="22"/>
        </w:rPr>
        <w:t>负责清除有碍场地施工的障碍物（土石堆、青苗、花木等），并做好对周边环境、设施、道路的保护工作</w:t>
      </w:r>
      <w:r>
        <w:rPr>
          <w:rFonts w:hint="eastAsia" w:ascii="宋体" w:hAnsi="宋体" w:eastAsia="宋体" w:cs="宋体"/>
          <w:sz w:val="22"/>
          <w:szCs w:val="22"/>
          <w:lang w:val="en-US" w:eastAsia="zh-CN"/>
        </w:rPr>
        <w:t>,</w:t>
      </w:r>
      <w:r>
        <w:rPr>
          <w:rFonts w:hint="eastAsia" w:ascii="宋体" w:hAnsi="宋体" w:eastAsia="宋体" w:cs="宋体"/>
          <w:sz w:val="22"/>
          <w:szCs w:val="22"/>
        </w:rPr>
        <w:t>清除障碍物、周边环境破坏后修复等</w:t>
      </w:r>
      <w:r>
        <w:rPr>
          <w:rFonts w:hint="eastAsia" w:ascii="宋体" w:hAnsi="宋体" w:eastAsia="宋体" w:cs="宋体"/>
          <w:sz w:val="22"/>
          <w:szCs w:val="22"/>
          <w:lang w:val="en-US" w:eastAsia="zh-CN"/>
        </w:rPr>
        <w:t>,</w:t>
      </w:r>
      <w:r>
        <w:rPr>
          <w:rFonts w:hint="eastAsia" w:ascii="宋体" w:hAnsi="宋体" w:cs="宋体"/>
          <w:sz w:val="22"/>
          <w:szCs w:val="22"/>
        </w:rPr>
        <w:t>包工期、包质量、包安全、包文明施工、并由投标方自供设备（如现场监控设备、车辆冲洗设备等）</w:t>
      </w:r>
      <w:r>
        <w:rPr>
          <w:rFonts w:hint="eastAsia" w:ascii="宋体" w:hAnsi="宋体" w:cs="宋体"/>
          <w:sz w:val="22"/>
          <w:szCs w:val="22"/>
          <w:lang w:eastAsia="zh-CN"/>
        </w:rPr>
        <w:t>等一切为完成本项目所有内容</w:t>
      </w:r>
      <w:r>
        <w:rPr>
          <w:rFonts w:hint="eastAsia" w:ascii="宋体" w:hAnsi="宋体" w:cs="宋体"/>
          <w:sz w:val="22"/>
          <w:szCs w:val="22"/>
        </w:rPr>
        <w:t>的形式承包施工。</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5.文明施工：施工现场临时设施、安全文明施工所用人工、器具、辅材；施工过程中安全文明施工管理及卫生保洁，雨鞋、雨衣、手套、安全带、安全帽等劳保用品投入。</w:t>
      </w:r>
    </w:p>
    <w:p>
      <w:pPr>
        <w:tabs>
          <w:tab w:val="left" w:pos="555"/>
        </w:tabs>
        <w:spacing w:line="400" w:lineRule="exact"/>
        <w:ind w:firstLine="220" w:firstLineChars="100"/>
        <w:textAlignment w:val="baseline"/>
        <w:rPr>
          <w:rFonts w:ascii="宋体" w:hAnsi="宋体" w:cs="宋体"/>
          <w:sz w:val="22"/>
          <w:szCs w:val="22"/>
        </w:rPr>
      </w:pPr>
      <w:r>
        <w:rPr>
          <w:rFonts w:hint="eastAsia" w:ascii="宋体" w:hAnsi="宋体" w:cs="宋体"/>
          <w:sz w:val="22"/>
          <w:szCs w:val="22"/>
        </w:rPr>
        <w:t>6.除上述工作外，由上述工作可合理推论得到的对完成上述工作的稳定、完整、安全、环保、可靠及有效运行所必须的全部工作。</w:t>
      </w:r>
    </w:p>
    <w:p>
      <w:pPr>
        <w:tabs>
          <w:tab w:val="left" w:pos="555"/>
        </w:tabs>
        <w:spacing w:line="400" w:lineRule="exact"/>
        <w:textAlignment w:val="baseline"/>
        <w:rPr>
          <w:rFonts w:ascii="宋体" w:hAnsi="宋体" w:cs="宋体"/>
          <w:b/>
          <w:sz w:val="22"/>
          <w:szCs w:val="22"/>
        </w:rPr>
      </w:pPr>
      <w:r>
        <w:rPr>
          <w:rFonts w:hint="eastAsia" w:ascii="宋体" w:hAnsi="宋体" w:cs="宋体"/>
          <w:b/>
          <w:sz w:val="22"/>
          <w:szCs w:val="22"/>
        </w:rPr>
        <w:t>第九条 管理目标与要求：</w:t>
      </w:r>
    </w:p>
    <w:p>
      <w:pPr>
        <w:tabs>
          <w:tab w:val="left" w:pos="555"/>
        </w:tabs>
        <w:spacing w:line="400" w:lineRule="exact"/>
        <w:ind w:firstLine="220" w:firstLineChars="100"/>
        <w:textAlignment w:val="baseline"/>
        <w:rPr>
          <w:rFonts w:ascii="宋体" w:hAnsi="宋体" w:cs="宋体"/>
          <w:color w:val="000000"/>
          <w:sz w:val="22"/>
          <w:szCs w:val="22"/>
        </w:rPr>
      </w:pPr>
      <w:r>
        <w:rPr>
          <w:rFonts w:hint="eastAsia" w:ascii="宋体" w:hAnsi="宋体" w:cs="宋体"/>
          <w:bCs/>
          <w:color w:val="000000"/>
          <w:sz w:val="22"/>
          <w:szCs w:val="22"/>
        </w:rPr>
        <w:t>1.工程质量要求:</w:t>
      </w:r>
      <w:r>
        <w:rPr>
          <w:rFonts w:hint="eastAsia" w:ascii="宋体" w:hAnsi="宋体" w:cs="宋体"/>
          <w:color w:val="000000"/>
          <w:sz w:val="22"/>
          <w:szCs w:val="22"/>
        </w:rPr>
        <w:t xml:space="preserve"> 合格</w:t>
      </w:r>
    </w:p>
    <w:p>
      <w:pPr>
        <w:tabs>
          <w:tab w:val="left" w:pos="555"/>
        </w:tabs>
        <w:spacing w:line="400" w:lineRule="exact"/>
        <w:ind w:firstLine="220" w:firstLineChars="100"/>
        <w:textAlignment w:val="baseline"/>
        <w:rPr>
          <w:rFonts w:ascii="宋体" w:hAnsi="宋体" w:cs="宋体"/>
          <w:b/>
          <w:sz w:val="22"/>
          <w:szCs w:val="22"/>
        </w:rPr>
      </w:pPr>
      <w:r>
        <w:rPr>
          <w:rFonts w:hint="eastAsia" w:ascii="宋体" w:hAnsi="宋体" w:cs="宋体"/>
          <w:sz w:val="22"/>
          <w:szCs w:val="22"/>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cs="宋体"/>
          <w:sz w:val="22"/>
          <w:szCs w:val="22"/>
        </w:rPr>
        <w:t>2.</w:t>
      </w:r>
      <w:r>
        <w:rPr>
          <w:rFonts w:hint="eastAsia" w:ascii="宋体" w:hAnsi="宋体" w:cs="宋体"/>
          <w:b/>
          <w:sz w:val="22"/>
          <w:szCs w:val="22"/>
        </w:rPr>
        <w:t>工期要求：</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2.1 本项目施工工期由投标方根据施工能力及经验自行考虑，评审时招标方需对投标方工期实行评审，投标一致的情况下，工期短者优先，但总工期不得超过招标方工期要求。如投标方被确定后，施工中因业主或招标方要求缩短工期，在技术条件允许情况下投标方需无条件执行且不增加任何费用。签订合同后应立即准备进场施工，具体以甲方通知为准。</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2.2 投标方以招标方工程进度计划为依据，必须确保各阶段计划地实现。</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2.3  对于以下原因造成推迟工期的，经招标人确认，工期相应顺延。</w:t>
      </w:r>
    </w:p>
    <w:p>
      <w:pPr>
        <w:tabs>
          <w:tab w:val="left" w:pos="555"/>
        </w:tabs>
        <w:adjustRightInd w:val="0"/>
        <w:snapToGrid w:val="0"/>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2.3.1 因战争、动乱、自然灾害或非招标人、投标人责任造成的爆炸、火灾等不可抗力；</w:t>
      </w:r>
    </w:p>
    <w:p>
      <w:pPr>
        <w:tabs>
          <w:tab w:val="left" w:pos="555"/>
        </w:tabs>
        <w:adjustRightInd w:val="0"/>
        <w:snapToGrid w:val="0"/>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2.3.2 投标人以书面形式提出申请，但仍未能从招标方获得施工批示、图纸等，致使施工不能正常进行的；</w:t>
      </w:r>
    </w:p>
    <w:p>
      <w:pPr>
        <w:tabs>
          <w:tab w:val="left" w:pos="555"/>
        </w:tabs>
        <w:adjustRightInd w:val="0"/>
        <w:snapToGrid w:val="0"/>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2.3.3 招标人同意工期顺延的其他情况。</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2.4 若投标人无故未按工期完工，延迟5日内（包含5日），每天扣违约金1000元；延迟5日以上15日以下（包含15日），每天扣违约金5000元；延长15日以上30日以下（包含30日），每天扣违约金10000元；延长超过30日，招标人有权解除与投标人签订的合同。</w:t>
      </w:r>
    </w:p>
    <w:p>
      <w:pPr>
        <w:tabs>
          <w:tab w:val="left" w:pos="555"/>
        </w:tabs>
        <w:spacing w:line="400" w:lineRule="exact"/>
        <w:textAlignment w:val="baseline"/>
        <w:rPr>
          <w:rFonts w:ascii="宋体" w:hAnsi="宋体" w:cs="宋体"/>
          <w:sz w:val="22"/>
          <w:szCs w:val="22"/>
        </w:rPr>
      </w:pPr>
      <w:r>
        <w:rPr>
          <w:rFonts w:hint="eastAsia" w:ascii="宋体" w:hAnsi="宋体" w:cs="宋体"/>
          <w:b/>
          <w:sz w:val="22"/>
          <w:szCs w:val="22"/>
        </w:rPr>
        <w:t>3.安全生产要求</w:t>
      </w:r>
      <w:r>
        <w:rPr>
          <w:rFonts w:hint="eastAsia" w:ascii="宋体" w:hAnsi="宋体" w:cs="宋体"/>
          <w:sz w:val="22"/>
          <w:szCs w:val="22"/>
        </w:rPr>
        <w:t xml:space="preserve">： </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3.1 坚持“安全第一、预防为主、综合治理”安全生产方针，必须做到无重伤以上事故,无重大机械伤害事故，无食物中毒事故，无火警事故。</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3.2 投标人应根据国家关于安全生产的有关规定和要求，严格执行《安全生产法》、《建筑法》、《建设工程安全生产管理条例》、《中华人民共和国道路交通管理条例》及招标人的相关管理制度，建立健全《安全生产管理体系》和《安全生产责任制》。</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3.3 特殊工种操作人员及各工种操作人员须经有关部门培训后，必须持证上岗。</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3.4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3.5 认真贯彻“预防为主、防消结合”的工作方针。严格执行《</w:t>
      </w:r>
      <w:r>
        <w:fldChar w:fldCharType="begin"/>
      </w:r>
      <w:r>
        <w:instrText xml:space="preserve"> HYPERLINK "https://zhidao.baidu.com/search?word=%E5%BB%BA%E7%AD%91%E6%96%BD%E5%B7%A5%E5%AE%89%E5%85%A8%E6%A3%80%E6%9F%A5%E6%A0%87%E5%87%86&amp;fr=iknow_pc_qb_highlight" </w:instrText>
      </w:r>
      <w:r>
        <w:fldChar w:fldCharType="separate"/>
      </w:r>
      <w:r>
        <w:rPr>
          <w:rFonts w:hint="eastAsia" w:ascii="宋体" w:hAnsi="宋体" w:cs="宋体"/>
          <w:sz w:val="22"/>
          <w:szCs w:val="22"/>
        </w:rPr>
        <w:t>建筑施工安全检查标准</w:t>
      </w:r>
      <w:r>
        <w:rPr>
          <w:rFonts w:hint="eastAsia" w:ascii="宋体" w:hAnsi="宋体" w:cs="宋体"/>
          <w:sz w:val="22"/>
          <w:szCs w:val="22"/>
        </w:rPr>
        <w:fldChar w:fldCharType="end"/>
      </w:r>
      <w:r>
        <w:rPr>
          <w:rFonts w:hint="eastAsia" w:ascii="宋体" w:hAnsi="宋体" w:cs="宋体"/>
          <w:sz w:val="22"/>
          <w:szCs w:val="22"/>
        </w:rPr>
        <w:t>》、《施工现场临时用电安全技术规范》、《建筑施工</w:t>
      </w:r>
      <w:r>
        <w:rPr>
          <w:rFonts w:ascii="宋体" w:hAnsi="宋体" w:cs="宋体"/>
          <w:sz w:val="22"/>
          <w:szCs w:val="22"/>
        </w:rPr>
        <w:t>高处作业安全技术规范</w:t>
      </w:r>
      <w:r>
        <w:rPr>
          <w:rFonts w:hint="eastAsia" w:ascii="宋体" w:hAnsi="宋体" w:cs="宋体"/>
          <w:sz w:val="22"/>
          <w:szCs w:val="22"/>
        </w:rPr>
        <w:t>》和《建筑施工现场安全生产管理规程》等相关规范要求，建立防火、保卫制度，落实责任、规范施工，保证安全。</w:t>
      </w:r>
    </w:p>
    <w:p>
      <w:pPr>
        <w:tabs>
          <w:tab w:val="left" w:pos="1080"/>
          <w:tab w:val="left" w:pos="1287"/>
        </w:tabs>
        <w:spacing w:line="400" w:lineRule="exact"/>
        <w:ind w:firstLine="358" w:firstLineChars="163"/>
        <w:textAlignment w:val="baseline"/>
        <w:rPr>
          <w:rFonts w:ascii="宋体" w:hAnsi="宋体" w:cs="宋体"/>
          <w:sz w:val="22"/>
          <w:szCs w:val="22"/>
        </w:rPr>
      </w:pPr>
      <w:r>
        <w:rPr>
          <w:rFonts w:hint="eastAsia" w:ascii="宋体" w:hAnsi="宋体" w:cs="宋体"/>
          <w:sz w:val="22"/>
          <w:szCs w:val="22"/>
        </w:rPr>
        <w:t>3.6 禁止在施工中违章指挥和违章作业。对可能影响人身安全的作业程序、作业条件、要提出改进意见，有权对违章指挥进行检举和控告。</w:t>
      </w:r>
    </w:p>
    <w:p>
      <w:pPr>
        <w:tabs>
          <w:tab w:val="left" w:pos="1080"/>
          <w:tab w:val="left" w:pos="1287"/>
        </w:tabs>
        <w:spacing w:line="400" w:lineRule="exact"/>
        <w:ind w:firstLine="358" w:firstLineChars="163"/>
        <w:textAlignment w:val="baseline"/>
        <w:rPr>
          <w:rFonts w:ascii="宋体" w:hAnsi="宋体" w:cs="宋体"/>
          <w:sz w:val="22"/>
          <w:szCs w:val="22"/>
        </w:rPr>
      </w:pPr>
      <w:r>
        <w:rPr>
          <w:rFonts w:hint="eastAsia" w:ascii="宋体" w:hAnsi="宋体" w:cs="宋体"/>
          <w:sz w:val="22"/>
          <w:szCs w:val="22"/>
        </w:rPr>
        <w:t>3.7 投标方驾驶人员必须持证上岗，严格执行《平安技术操作规程》进行施工，</w:t>
      </w:r>
      <w:r>
        <w:rPr>
          <w:rFonts w:ascii="宋体" w:hAnsi="宋体" w:cs="宋体"/>
          <w:sz w:val="22"/>
          <w:szCs w:val="22"/>
        </w:rPr>
        <w:t>不准违章作业，不得擅自离开工作岗位，不准将车辆交给非本车操作人员操作，工作时，思想集中，严禁酒后操机作业</w:t>
      </w:r>
      <w:r>
        <w:rPr>
          <w:rFonts w:hint="eastAsia" w:ascii="宋体" w:hAnsi="宋体" w:cs="宋体"/>
          <w:sz w:val="22"/>
          <w:szCs w:val="22"/>
        </w:rPr>
        <w:t>，确保安全。</w:t>
      </w:r>
    </w:p>
    <w:p>
      <w:pPr>
        <w:tabs>
          <w:tab w:val="left" w:pos="1080"/>
          <w:tab w:val="left" w:pos="1287"/>
        </w:tabs>
        <w:spacing w:line="400" w:lineRule="exact"/>
        <w:ind w:firstLine="358" w:firstLineChars="163"/>
        <w:textAlignment w:val="baseline"/>
        <w:rPr>
          <w:sz w:val="22"/>
          <w:szCs w:val="22"/>
        </w:rPr>
      </w:pPr>
      <w:r>
        <w:rPr>
          <w:rFonts w:hint="eastAsia" w:asciiTheme="majorEastAsia" w:hAnsiTheme="majorEastAsia" w:eastAsiaTheme="majorEastAsia" w:cstheme="majorEastAsia"/>
          <w:sz w:val="22"/>
          <w:szCs w:val="22"/>
        </w:rPr>
        <w:t>3.8</w:t>
      </w:r>
      <w:r>
        <w:rPr>
          <w:rFonts w:hint="eastAsia"/>
          <w:sz w:val="22"/>
          <w:szCs w:val="22"/>
        </w:rPr>
        <w:t xml:space="preserve"> </w:t>
      </w:r>
      <w:r>
        <w:rPr>
          <w:sz w:val="22"/>
          <w:szCs w:val="22"/>
        </w:rPr>
        <w:t>在路上会车时应减速慢行，施工便道上、村庄路上严禁超车。行驶时发觉前方路上有状况严禁抢道行驶，先等一会，严禁私自离开车辆，前方避让后在通行，如时间较长应下车查看，在保证可以平安通过后在前行。</w:t>
      </w:r>
    </w:p>
    <w:p>
      <w:pPr>
        <w:pStyle w:val="17"/>
        <w:widowControl/>
        <w:spacing w:beforeLines="50" w:afterLines="50" w:line="360" w:lineRule="auto"/>
        <w:ind w:firstLine="440" w:firstLineChars="200"/>
        <w:rPr>
          <w:sz w:val="20"/>
          <w:szCs w:val="20"/>
        </w:rPr>
      </w:pPr>
      <w:r>
        <w:rPr>
          <w:rFonts w:hint="eastAsia" w:asciiTheme="majorEastAsia" w:hAnsiTheme="majorEastAsia" w:eastAsiaTheme="majorEastAsia" w:cstheme="majorEastAsia"/>
          <w:sz w:val="22"/>
          <w:szCs w:val="22"/>
        </w:rPr>
        <w:t>3.9</w:t>
      </w:r>
      <w:r>
        <w:rPr>
          <w:rFonts w:hint="eastAsia"/>
          <w:sz w:val="22"/>
          <w:szCs w:val="22"/>
        </w:rPr>
        <w:t xml:space="preserve"> </w:t>
      </w:r>
      <w:r>
        <w:rPr>
          <w:sz w:val="22"/>
          <w:szCs w:val="22"/>
        </w:rPr>
        <w:t xml:space="preserve">行驶在施工便道时、现场作业时，应留意上空电线，防止电击伤人，施工现场在倒车回转车辆必需有人看管指挥，有足够的照明，司机应把门窗打开能够听到现场指挥信号，倒车没肯定把握头应探出门窗有足够视线下方可倒车回转。 </w:t>
      </w:r>
    </w:p>
    <w:p>
      <w:pPr>
        <w:pStyle w:val="17"/>
        <w:widowControl/>
        <w:spacing w:beforeLines="50" w:afterLines="50" w:line="360" w:lineRule="auto"/>
        <w:ind w:firstLine="440" w:firstLineChars="200"/>
        <w:rPr>
          <w:sz w:val="20"/>
          <w:szCs w:val="20"/>
        </w:rPr>
      </w:pPr>
      <w:r>
        <w:rPr>
          <w:rFonts w:hint="eastAsia" w:asciiTheme="majorEastAsia" w:hAnsiTheme="majorEastAsia" w:eastAsiaTheme="majorEastAsia" w:cstheme="majorEastAsia"/>
          <w:sz w:val="22"/>
          <w:szCs w:val="22"/>
        </w:rPr>
        <w:t>3.10</w:t>
      </w:r>
      <w:r>
        <w:rPr>
          <w:rFonts w:hint="eastAsia"/>
          <w:sz w:val="22"/>
          <w:szCs w:val="22"/>
        </w:rPr>
        <w:t xml:space="preserve"> </w:t>
      </w:r>
      <w:r>
        <w:rPr>
          <w:sz w:val="22"/>
          <w:szCs w:val="22"/>
        </w:rPr>
        <w:t xml:space="preserve">车辆的操作驾驶人员，必需在进场前车辆的技术状态、平安设施等进行平安检查；车辆进入施工现场前，应查明行驶线路上便道、承载力量和路况，确保车辆的平安通过；察看施工现场作业点是否有足够的工作平台，是否现场回转、倒车受限，车辆在施工现场停放时，必需留意选择好停放地点，关好驾驶室，有驻车制动装置的要拉好，坡道上停车时，要打好掩木，夜间作业时照明系统要完好；作业完毕退场后进行例行保养，消退事故隐患，保持良好的技术状态。 </w:t>
      </w:r>
    </w:p>
    <w:p>
      <w:pPr>
        <w:pStyle w:val="17"/>
        <w:widowControl/>
        <w:spacing w:beforeLines="50" w:afterLines="50"/>
        <w:ind w:firstLine="440" w:firstLineChars="200"/>
        <w:rPr>
          <w:sz w:val="22"/>
          <w:szCs w:val="22"/>
        </w:rPr>
      </w:pPr>
      <w:r>
        <w:rPr>
          <w:rFonts w:hint="eastAsia" w:asciiTheme="majorEastAsia" w:hAnsiTheme="majorEastAsia" w:eastAsiaTheme="majorEastAsia" w:cstheme="majorEastAsia"/>
          <w:sz w:val="22"/>
          <w:szCs w:val="22"/>
        </w:rPr>
        <w:t>3.11</w:t>
      </w:r>
      <w:r>
        <w:rPr>
          <w:rFonts w:hint="eastAsia"/>
          <w:sz w:val="22"/>
          <w:szCs w:val="22"/>
        </w:rPr>
        <w:t xml:space="preserve"> </w:t>
      </w:r>
      <w:r>
        <w:rPr>
          <w:sz w:val="22"/>
          <w:szCs w:val="22"/>
        </w:rPr>
        <w:t xml:space="preserve">车辆的操作驾驶人员必需接受项目的各项平安生产训练。 </w:t>
      </w:r>
    </w:p>
    <w:p>
      <w:pPr>
        <w:pStyle w:val="17"/>
        <w:widowControl/>
        <w:spacing w:beforeLines="50" w:afterLines="50"/>
        <w:ind w:firstLine="440" w:firstLineChars="200"/>
        <w:rPr>
          <w:sz w:val="20"/>
          <w:szCs w:val="20"/>
        </w:rPr>
      </w:pPr>
      <w:r>
        <w:rPr>
          <w:rFonts w:hint="eastAsia" w:asciiTheme="majorEastAsia" w:hAnsiTheme="majorEastAsia" w:eastAsiaTheme="majorEastAsia" w:cstheme="majorEastAsia"/>
          <w:sz w:val="22"/>
          <w:szCs w:val="22"/>
        </w:rPr>
        <w:t>3.12</w:t>
      </w:r>
      <w:r>
        <w:rPr>
          <w:rFonts w:hint="eastAsia"/>
          <w:sz w:val="22"/>
          <w:szCs w:val="22"/>
        </w:rPr>
        <w:t xml:space="preserve"> </w:t>
      </w:r>
      <w:r>
        <w:rPr>
          <w:sz w:val="22"/>
          <w:szCs w:val="22"/>
        </w:rPr>
        <w:t xml:space="preserve">驾驶操作人员必需对该设备的使用操作与修理保养，坚持每日例行检查与定期保养并做好记录。确保机械平安、完好的运转。 </w:t>
      </w:r>
    </w:p>
    <w:p>
      <w:pPr>
        <w:pStyle w:val="17"/>
        <w:widowControl/>
        <w:spacing w:beforeLines="50" w:afterLines="50"/>
        <w:ind w:firstLine="440" w:firstLineChars="200"/>
        <w:rPr>
          <w:rFonts w:hint="eastAsia"/>
          <w:sz w:val="22"/>
          <w:szCs w:val="22"/>
        </w:rPr>
      </w:pPr>
      <w:r>
        <w:rPr>
          <w:rFonts w:hint="eastAsia" w:asciiTheme="majorEastAsia" w:hAnsiTheme="majorEastAsia" w:eastAsiaTheme="majorEastAsia" w:cstheme="majorEastAsia"/>
          <w:sz w:val="22"/>
          <w:szCs w:val="22"/>
        </w:rPr>
        <w:t>3.13</w:t>
      </w:r>
      <w:r>
        <w:rPr>
          <w:rFonts w:hint="eastAsia"/>
          <w:sz w:val="22"/>
          <w:szCs w:val="22"/>
        </w:rPr>
        <w:t xml:space="preserve"> </w:t>
      </w:r>
      <w:r>
        <w:rPr>
          <w:sz w:val="22"/>
          <w:szCs w:val="22"/>
        </w:rPr>
        <w:t>严禁开私自改装车辆进行土方运输。</w:t>
      </w:r>
    </w:p>
    <w:p>
      <w:pPr>
        <w:pStyle w:val="17"/>
        <w:widowControl/>
        <w:spacing w:beforeLines="50" w:afterLines="50"/>
        <w:ind w:firstLine="440" w:firstLineChars="200"/>
        <w:rPr>
          <w:rFonts w:ascii="宋体" w:hAnsi="宋体" w:cs="宋体"/>
          <w:b/>
          <w:sz w:val="22"/>
          <w:szCs w:val="22"/>
        </w:rPr>
      </w:pPr>
      <w:r>
        <w:rPr>
          <w:rFonts w:hint="eastAsia" w:ascii="宋体" w:hAnsi="宋体" w:cs="宋体"/>
          <w:b/>
          <w:sz w:val="22"/>
          <w:szCs w:val="22"/>
        </w:rPr>
        <w:t>4.重大伤亡及其他安全事故处理：</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4.1 发生重大伤亡及其他安全事故，招、投标双方应采取紧急措施防止事态扩大并全力组织抢救伤者，保护事故现场，如因抢救伤者必须移动现场设备，须做出文字及影像记录。</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4.2 招标人有权对投标人的安全隐患提出整改意见；投标人未及时整改的，招标人有权自行或委托他人整改，发生的费用由投标人承担。施工过程中违反有关规定而发生人员伤亡、机械和财产损失等由投标人承担主要责任，并承担所有95%的损失，招标人承担连带责任，并承担5%的损失。在招标人与投标人对事故责任认定有争议时，按政府有关部门的认定处理。</w:t>
      </w:r>
    </w:p>
    <w:p>
      <w:pPr>
        <w:tabs>
          <w:tab w:val="left" w:pos="555"/>
        </w:tabs>
        <w:spacing w:line="400" w:lineRule="exact"/>
        <w:ind w:firstLine="440" w:firstLineChars="200"/>
        <w:textAlignment w:val="baseline"/>
        <w:rPr>
          <w:rFonts w:ascii="宋体" w:hAnsi="宋体" w:cs="宋体"/>
          <w:sz w:val="22"/>
          <w:szCs w:val="22"/>
        </w:rPr>
      </w:pPr>
    </w:p>
    <w:p>
      <w:pPr>
        <w:tabs>
          <w:tab w:val="left" w:pos="555"/>
        </w:tabs>
        <w:spacing w:line="400" w:lineRule="exact"/>
        <w:textAlignment w:val="baseline"/>
        <w:rPr>
          <w:rFonts w:ascii="宋体" w:hAnsi="宋体" w:cs="宋体"/>
          <w:b/>
          <w:bCs/>
          <w:sz w:val="22"/>
          <w:szCs w:val="22"/>
        </w:rPr>
      </w:pPr>
      <w:r>
        <w:rPr>
          <w:rFonts w:hint="eastAsia" w:ascii="宋体" w:hAnsi="宋体" w:cs="宋体"/>
          <w:b/>
          <w:bCs/>
          <w:sz w:val="22"/>
          <w:szCs w:val="22"/>
        </w:rPr>
        <w:t>5、其他要求：</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5.1 投标人应服从招标人项目经理部的安排、指挥、调配。投标人应按招标人的管理要求，配置项目现场管理人员</w:t>
      </w:r>
      <w:r>
        <w:rPr>
          <w:rFonts w:hint="eastAsia" w:ascii="宋体" w:hAnsi="宋体" w:cs="宋体"/>
          <w:color w:val="0000FF"/>
          <w:sz w:val="22"/>
          <w:szCs w:val="22"/>
        </w:rPr>
        <w:t>，</w:t>
      </w:r>
      <w:r>
        <w:rPr>
          <w:rFonts w:hint="eastAsia" w:ascii="宋体" w:hAnsi="宋体" w:cs="宋体"/>
          <w:sz w:val="22"/>
          <w:szCs w:val="22"/>
        </w:rPr>
        <w:t>特殊工种作业人员应持证上岗，未经项目部同意不得中途更换现场管理人员；</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5.2 投标人应保证按招标人审批的安全技术措施贯彻执行，且具有完成招标人工程工期、安全、质量、文明施工等计划的能力和措施办法，并且有足够的流动资金给予支持；</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 xml:space="preserve">5.3 </w:t>
      </w:r>
      <w:r>
        <w:rPr>
          <w:rFonts w:hint="eastAsia" w:ascii="宋体" w:hAnsi="宋体" w:cs="宋体"/>
          <w:szCs w:val="21"/>
        </w:rPr>
        <w:t>如因投标人原因给总包单位造成影响和处罚的，50万元以内损失，按照同等金额违约金从投标人的履约保证金中扣除，超出50万元经济损失，全额扣除履约保证金，超出部分从工程款中直接扣除，给总包单位造成其他恶劣影响的，全额扣除工程款。</w:t>
      </w:r>
    </w:p>
    <w:p>
      <w:pPr>
        <w:spacing w:line="360" w:lineRule="auto"/>
        <w:ind w:firstLine="440" w:firstLineChars="200"/>
        <w:rPr>
          <w:rFonts w:ascii="宋体" w:hAnsi="宋体" w:cs="宋体"/>
          <w:color w:val="FF0000"/>
          <w:sz w:val="24"/>
        </w:rPr>
      </w:pPr>
      <w:r>
        <w:rPr>
          <w:rFonts w:hint="eastAsia" w:ascii="宋体" w:hAnsi="宋体" w:cs="宋体"/>
          <w:b/>
          <w:sz w:val="22"/>
          <w:szCs w:val="22"/>
        </w:rPr>
        <w:t xml:space="preserve">第十条  </w:t>
      </w:r>
      <w:r>
        <w:rPr>
          <w:rFonts w:hint="eastAsia" w:ascii="宋体" w:hAnsi="宋体" w:cs="宋体"/>
          <w:sz w:val="22"/>
          <w:szCs w:val="22"/>
        </w:rPr>
        <w:t>投标要求：</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1.计价原则：综合单价形式，综合单价包括但不限于按照招标方提供的招标文件保质保量按招标人要求完成施工任务，验收直至移交的所有相关工作内容，施工过程中所需发生的人工、机械、材料、措施费、管理费、利润、税金、规费等一切为完成本项目的的所有费用。</w:t>
      </w:r>
    </w:p>
    <w:p>
      <w:pPr>
        <w:tabs>
          <w:tab w:val="left" w:pos="555"/>
        </w:tabs>
        <w:spacing w:line="400" w:lineRule="exact"/>
        <w:textAlignment w:val="baseline"/>
        <w:rPr>
          <w:rFonts w:ascii="宋体" w:hAnsi="宋体" w:cs="宋体"/>
          <w:b/>
          <w:sz w:val="22"/>
          <w:szCs w:val="22"/>
        </w:rPr>
      </w:pPr>
      <w:r>
        <w:rPr>
          <w:rFonts w:hint="eastAsia" w:ascii="宋体" w:hAnsi="宋体" w:cs="宋体"/>
          <w:b/>
          <w:sz w:val="22"/>
          <w:szCs w:val="22"/>
        </w:rPr>
        <w:t>第十一条 工程款支付：</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1.工程款支付</w:t>
      </w:r>
      <w:r>
        <w:rPr>
          <w:rFonts w:ascii="宋体" w:hAnsi="宋体" w:cs="宋体"/>
          <w:sz w:val="22"/>
          <w:szCs w:val="22"/>
        </w:rPr>
        <w:t>，</w:t>
      </w:r>
      <w:r>
        <w:rPr>
          <w:rFonts w:hint="eastAsia" w:ascii="宋体" w:hAnsi="宋体" w:cs="宋体"/>
          <w:sz w:val="22"/>
          <w:szCs w:val="22"/>
        </w:rPr>
        <w:t>投标</w:t>
      </w:r>
      <w:r>
        <w:rPr>
          <w:rFonts w:ascii="宋体" w:hAnsi="宋体" w:cs="宋体"/>
          <w:sz w:val="22"/>
          <w:szCs w:val="22"/>
        </w:rPr>
        <w:t>方必须向</w:t>
      </w:r>
      <w:r>
        <w:rPr>
          <w:rFonts w:hint="eastAsia" w:ascii="宋体" w:hAnsi="宋体" w:cs="宋体"/>
          <w:sz w:val="22"/>
          <w:szCs w:val="22"/>
        </w:rPr>
        <w:t>招标</w:t>
      </w:r>
      <w:r>
        <w:rPr>
          <w:rFonts w:ascii="宋体" w:hAnsi="宋体" w:cs="宋体"/>
          <w:sz w:val="22"/>
          <w:szCs w:val="22"/>
        </w:rPr>
        <w:t>方提交合法有效的专用增值税发票，否则，工程款不予支付</w:t>
      </w:r>
      <w:r>
        <w:rPr>
          <w:rFonts w:hint="eastAsia" w:ascii="宋体" w:hAnsi="宋体" w:cs="宋体"/>
          <w:sz w:val="22"/>
          <w:szCs w:val="22"/>
        </w:rPr>
        <w:t>；</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2.本工程无预付款,待工程竣工验收通过后60天内全额付款。</w:t>
      </w:r>
    </w:p>
    <w:p>
      <w:pPr>
        <w:tabs>
          <w:tab w:val="left" w:pos="555"/>
        </w:tabs>
        <w:spacing w:line="400" w:lineRule="exact"/>
        <w:textAlignment w:val="baseline"/>
        <w:rPr>
          <w:rFonts w:ascii="宋体" w:hAnsi="宋体" w:cs="宋体"/>
          <w:b/>
          <w:sz w:val="22"/>
          <w:szCs w:val="22"/>
        </w:rPr>
      </w:pPr>
      <w:r>
        <w:rPr>
          <w:rFonts w:hint="eastAsia" w:ascii="宋体" w:hAnsi="宋体" w:cs="宋体"/>
          <w:b/>
          <w:sz w:val="22"/>
          <w:szCs w:val="22"/>
        </w:rPr>
        <w:t>第十二条  双方职责：</w:t>
      </w:r>
    </w:p>
    <w:p>
      <w:pPr>
        <w:tabs>
          <w:tab w:val="left" w:pos="555"/>
        </w:tabs>
        <w:spacing w:line="400" w:lineRule="exact"/>
        <w:ind w:firstLine="440" w:firstLineChars="200"/>
        <w:textAlignment w:val="baseline"/>
        <w:rPr>
          <w:rFonts w:ascii="宋体" w:hAnsi="宋体" w:cs="宋体"/>
          <w:b/>
          <w:sz w:val="22"/>
          <w:szCs w:val="22"/>
        </w:rPr>
      </w:pPr>
      <w:r>
        <w:rPr>
          <w:rFonts w:hint="eastAsia" w:ascii="宋体" w:hAnsi="宋体" w:cs="宋体"/>
          <w:b/>
          <w:sz w:val="22"/>
          <w:szCs w:val="22"/>
        </w:rPr>
        <w:t>1 .招标方职责：</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1.1 负责施工进度、工程质量、安全生产、文明施工等方面的监督与管理。</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1.2 负责提供施工所需图纸（包括技术说明），技术、质量、安全交底、办理签证。</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1.3 负责组织工程检查验收和竣工验收。</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b/>
          <w:sz w:val="22"/>
          <w:szCs w:val="22"/>
        </w:rPr>
        <w:t>2.投标方职责</w:t>
      </w:r>
      <w:r>
        <w:rPr>
          <w:rFonts w:hint="eastAsia" w:ascii="宋体" w:hAnsi="宋体" w:cs="宋体"/>
          <w:sz w:val="22"/>
          <w:szCs w:val="22"/>
        </w:rPr>
        <w:t xml:space="preserve">： </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下述职责包括但不限于：</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2.1 负责协调交警、路政、环保、城管、渣土办、建设局、建管处及弃土点当地部门等一切相关部门关系及办理符合业主方及招标人要求的手续（</w:t>
      </w:r>
      <w:r>
        <w:rPr>
          <w:rFonts w:hint="eastAsia" w:ascii="宋体" w:hAnsi="宋体" w:cs="宋体"/>
          <w:sz w:val="22"/>
          <w:szCs w:val="22"/>
          <w:u w:val="single"/>
        </w:rPr>
        <w:t>如渣土运输证、车辆通行证等</w:t>
      </w:r>
      <w:r>
        <w:rPr>
          <w:rFonts w:hint="eastAsia" w:ascii="宋体" w:hAnsi="宋体" w:cs="宋体"/>
          <w:sz w:val="22"/>
          <w:szCs w:val="22"/>
        </w:rPr>
        <w:t>）保证运输路线畅通，其费用由投标方承担。在运输过程中，若遇恶势力拦车或被交管部门扣车、扣证、罚款，费用全部由投标方负责。</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 xml:space="preserve">2.2 按招标方要求组织运输车辆，按时进场，服从招标方安排，进行安全运输。 </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 xml:space="preserve">2.3 为确保安全生产，主动配合项目部管理人员工作、做好文明施工。 </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2.4 车辆由投标方自己负责购买车辆保险，如运输过程中及施工现场内所发生安全事故或任何交通事故及违章等，造成一切后果由投标方自行负责解决处理，并承担所造成的一切损失，招标方不负责任。</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2.5 每辆车进场必须证件齐全，如证件不齐全，一切责任由投标方负责；</w:t>
      </w:r>
    </w:p>
    <w:p>
      <w:pPr>
        <w:tabs>
          <w:tab w:val="left" w:pos="555"/>
        </w:tabs>
        <w:spacing w:beforeLines="50" w:afterLines="50"/>
        <w:ind w:firstLine="440" w:firstLineChars="200"/>
        <w:textAlignment w:val="baseline"/>
        <w:rPr>
          <w:rFonts w:ascii="宋体" w:hAnsi="宋体" w:cs="宋体"/>
          <w:sz w:val="22"/>
          <w:szCs w:val="22"/>
        </w:rPr>
      </w:pPr>
      <w:r>
        <w:rPr>
          <w:rFonts w:hint="eastAsia" w:ascii="宋体" w:hAnsi="宋体" w:cs="宋体"/>
          <w:sz w:val="22"/>
          <w:szCs w:val="22"/>
        </w:rPr>
        <w:t>2.6 按照招标方发出的指令组织施工生产，并做好施工原始记录的收集、整理工作。</w:t>
      </w:r>
    </w:p>
    <w:p>
      <w:pPr>
        <w:pStyle w:val="17"/>
        <w:widowControl/>
        <w:spacing w:beforeLines="50" w:afterLines="50"/>
        <w:ind w:firstLine="440" w:firstLineChars="200"/>
        <w:rPr>
          <w:sz w:val="22"/>
          <w:szCs w:val="22"/>
        </w:rPr>
      </w:pPr>
      <w:r>
        <w:rPr>
          <w:rFonts w:hint="eastAsia" w:asciiTheme="majorEastAsia" w:hAnsiTheme="majorEastAsia" w:eastAsiaTheme="majorEastAsia" w:cstheme="majorEastAsia"/>
          <w:sz w:val="22"/>
          <w:szCs w:val="22"/>
        </w:rPr>
        <w:t>2.7</w:t>
      </w:r>
      <w:r>
        <w:rPr>
          <w:rFonts w:hint="eastAsia"/>
          <w:sz w:val="22"/>
          <w:szCs w:val="22"/>
        </w:rPr>
        <w:t xml:space="preserve"> </w:t>
      </w:r>
      <w:r>
        <w:rPr>
          <w:sz w:val="22"/>
          <w:szCs w:val="22"/>
        </w:rPr>
        <w:t xml:space="preserve">驾驶操作人员必需对该设备的使用操作与修理保养，坚持每日例行检查与定期保养并做好记录。确保机械平安、完好的运转。  </w:t>
      </w:r>
    </w:p>
    <w:p>
      <w:pPr>
        <w:pStyle w:val="17"/>
        <w:widowControl/>
        <w:spacing w:beforeLines="50" w:afterLines="50"/>
        <w:ind w:firstLine="440" w:firstLineChars="200"/>
        <w:rPr>
          <w:rFonts w:ascii="宋体" w:hAnsi="宋体" w:cs="宋体"/>
          <w:sz w:val="22"/>
          <w:szCs w:val="22"/>
        </w:rPr>
      </w:pPr>
      <w:r>
        <w:rPr>
          <w:rFonts w:hint="eastAsia" w:ascii="宋体" w:hAnsi="宋体" w:cs="宋体"/>
          <w:sz w:val="22"/>
          <w:szCs w:val="22"/>
        </w:rPr>
        <w:t>2.8 投标方负责本工程所使用的大中型机械设备和其他设施设备使用和维护。</w:t>
      </w:r>
    </w:p>
    <w:p>
      <w:pPr>
        <w:tabs>
          <w:tab w:val="left" w:pos="555"/>
        </w:tabs>
        <w:spacing w:beforeLines="50" w:afterLines="50" w:line="400" w:lineRule="exact"/>
        <w:ind w:firstLine="440" w:firstLineChars="200"/>
        <w:textAlignment w:val="baseline"/>
        <w:rPr>
          <w:rFonts w:ascii="宋体" w:hAnsi="宋体" w:cs="宋体"/>
          <w:sz w:val="22"/>
          <w:szCs w:val="22"/>
        </w:rPr>
      </w:pPr>
      <w:r>
        <w:rPr>
          <w:rFonts w:hint="eastAsia" w:ascii="宋体" w:hAnsi="宋体" w:cs="宋体"/>
          <w:sz w:val="22"/>
          <w:szCs w:val="22"/>
        </w:rPr>
        <w:t>2.9 投标方必须服从招标方的有关管理规定和要求，无条件执行相关规章制度。</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2.10 按照有关规定和要求为现场施工人员办理各项手续，并购买意外伤害保险。</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2.11 现场监控设备、土方出场前的车辆冲洗设备（洗车池除外）等设备投标方自理。</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2.12 保持安全文明施工，如项目环境卫生、车辆上路前冲洗干净（满足相关规定为主），道路上掉落土方等及时清运(道路清扫、冲洗等），如不执行，造成一切后果由投标方自行负责解决处理，并承担所造成的一切损失。</w:t>
      </w:r>
    </w:p>
    <w:p>
      <w:pPr>
        <w:tabs>
          <w:tab w:val="left" w:pos="555"/>
        </w:tabs>
        <w:spacing w:line="400" w:lineRule="exact"/>
        <w:jc w:val="center"/>
        <w:textAlignment w:val="baseline"/>
        <w:rPr>
          <w:rFonts w:ascii="宋体" w:hAnsi="宋体" w:cs="宋体"/>
          <w:b/>
          <w:color w:val="000000"/>
          <w:sz w:val="22"/>
          <w:szCs w:val="22"/>
        </w:rPr>
      </w:pPr>
    </w:p>
    <w:p>
      <w:pPr>
        <w:tabs>
          <w:tab w:val="left" w:pos="555"/>
        </w:tabs>
        <w:spacing w:line="400" w:lineRule="exact"/>
        <w:jc w:val="center"/>
        <w:textAlignment w:val="baseline"/>
        <w:rPr>
          <w:rFonts w:ascii="宋体" w:hAnsi="宋体" w:cs="宋体"/>
          <w:b/>
          <w:color w:val="000000"/>
          <w:sz w:val="22"/>
          <w:szCs w:val="22"/>
        </w:rPr>
      </w:pPr>
      <w:r>
        <w:rPr>
          <w:rFonts w:hint="eastAsia" w:ascii="宋体" w:hAnsi="宋体" w:cs="宋体"/>
          <w:b/>
          <w:color w:val="000000"/>
          <w:sz w:val="22"/>
          <w:szCs w:val="22"/>
        </w:rPr>
        <w:t>三、须知要求</w:t>
      </w:r>
    </w:p>
    <w:p>
      <w:pPr>
        <w:tabs>
          <w:tab w:val="left" w:pos="555"/>
        </w:tabs>
        <w:spacing w:line="400" w:lineRule="exact"/>
        <w:textAlignment w:val="baseline"/>
        <w:rPr>
          <w:rFonts w:ascii="宋体" w:hAnsi="宋体" w:cs="宋体"/>
          <w:b/>
          <w:sz w:val="22"/>
          <w:szCs w:val="22"/>
        </w:rPr>
      </w:pPr>
      <w:r>
        <w:rPr>
          <w:rFonts w:hint="eastAsia" w:ascii="宋体" w:hAnsi="宋体" w:cs="宋体"/>
          <w:b/>
          <w:sz w:val="22"/>
          <w:szCs w:val="22"/>
        </w:rPr>
        <w:t>第十三条  勘察现场：</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1.招标人有责任和义务向投标人提供与施工有关的所需资料和数据，投标人应认真阅读和分析招标人提供的有关资料。</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2.</w:t>
      </w:r>
      <w:r>
        <w:rPr>
          <w:rFonts w:hint="eastAsia" w:ascii="宋体" w:hAnsi="宋体" w:cs="宋体"/>
          <w:sz w:val="22"/>
          <w:szCs w:val="22"/>
        </w:rPr>
        <w:t>投标人自行对工程施工现场和周围环境进行勘察，以获取编制投标文件和签署合同所需的所有资料，</w:t>
      </w:r>
      <w:r>
        <w:rPr>
          <w:rFonts w:hint="eastAsia" w:ascii="宋体" w:hAnsi="宋体" w:cs="宋体"/>
          <w:color w:val="000000"/>
          <w:sz w:val="22"/>
          <w:szCs w:val="22"/>
        </w:rPr>
        <w:t>勘</w:t>
      </w:r>
      <w:r>
        <w:rPr>
          <w:rFonts w:hint="eastAsia" w:ascii="宋体" w:hAnsi="宋体" w:cs="宋体"/>
          <w:sz w:val="22"/>
          <w:szCs w:val="22"/>
        </w:rPr>
        <w:t>察的全部费用由投标人自己承担。勘察</w:t>
      </w:r>
      <w:r>
        <w:rPr>
          <w:rFonts w:hint="eastAsia" w:ascii="宋体" w:hAnsi="宋体" w:cs="宋体"/>
          <w:color w:val="000000" w:themeColor="text1"/>
          <w:sz w:val="22"/>
          <w:szCs w:val="22"/>
        </w:rPr>
        <w:t>现场后，视为投标人认可现场条件满足施工要求，后期不得以现场不满足施工条件为理由增加费用。</w:t>
      </w:r>
      <w:r>
        <w:rPr>
          <w:rFonts w:hint="eastAsia" w:ascii="宋体" w:hAnsi="宋体" w:cs="宋体"/>
          <w:sz w:val="22"/>
          <w:szCs w:val="22"/>
        </w:rPr>
        <w:t>投标人自行实施勘察现场时需提前24小时通知招标人，勘察时所发生的一切伤亡事故与招标人无关，招标人将不予任何补偿。</w:t>
      </w:r>
    </w:p>
    <w:p>
      <w:pPr>
        <w:tabs>
          <w:tab w:val="left" w:pos="555"/>
        </w:tabs>
        <w:spacing w:line="400" w:lineRule="exact"/>
        <w:ind w:firstLine="440" w:firstLineChars="200"/>
        <w:textAlignment w:val="baseline"/>
        <w:rPr>
          <w:rFonts w:ascii="宋体" w:hAnsi="宋体" w:cs="宋体"/>
          <w:b/>
          <w:sz w:val="22"/>
          <w:szCs w:val="22"/>
        </w:rPr>
      </w:pPr>
      <w:r>
        <w:rPr>
          <w:rFonts w:hint="eastAsia" w:ascii="宋体" w:hAnsi="宋体" w:cs="宋体"/>
          <w:color w:val="000000"/>
          <w:sz w:val="22"/>
          <w:szCs w:val="22"/>
        </w:rPr>
        <w:t>3.因</w:t>
      </w:r>
      <w:r>
        <w:rPr>
          <w:rFonts w:hint="eastAsia" w:ascii="宋体" w:hAnsi="宋体" w:cs="宋体"/>
          <w:sz w:val="22"/>
          <w:szCs w:val="22"/>
        </w:rPr>
        <w:t>投标人自己理解</w:t>
      </w:r>
      <w:r>
        <w:rPr>
          <w:rFonts w:hint="eastAsia" w:ascii="宋体" w:hAnsi="宋体" w:cs="宋体"/>
          <w:color w:val="000000"/>
          <w:sz w:val="22"/>
          <w:szCs w:val="22"/>
        </w:rPr>
        <w:t>错误</w:t>
      </w:r>
      <w:r>
        <w:rPr>
          <w:rFonts w:hint="eastAsia" w:ascii="宋体" w:hAnsi="宋体" w:cs="宋体"/>
          <w:sz w:val="22"/>
          <w:szCs w:val="22"/>
        </w:rPr>
        <w:t>，而造成投标人不能在全面理解招标人意图时，所作出的错误结论，</w:t>
      </w:r>
      <w:r>
        <w:rPr>
          <w:rFonts w:hint="eastAsia" w:ascii="宋体" w:hAnsi="宋体" w:cs="宋体"/>
          <w:color w:val="000000"/>
          <w:sz w:val="22"/>
          <w:szCs w:val="22"/>
        </w:rPr>
        <w:t>责任由投标人自己承担</w:t>
      </w:r>
      <w:r>
        <w:rPr>
          <w:rFonts w:hint="eastAsia" w:ascii="宋体" w:hAnsi="宋体" w:cs="宋体"/>
          <w:sz w:val="22"/>
          <w:szCs w:val="22"/>
        </w:rPr>
        <w:t>。</w:t>
      </w:r>
    </w:p>
    <w:p>
      <w:pPr>
        <w:tabs>
          <w:tab w:val="left" w:pos="555"/>
        </w:tabs>
        <w:spacing w:line="400" w:lineRule="exact"/>
        <w:textAlignment w:val="baseline"/>
        <w:rPr>
          <w:rFonts w:ascii="宋体" w:hAnsi="宋体" w:cs="宋体"/>
          <w:b/>
          <w:sz w:val="22"/>
          <w:szCs w:val="22"/>
        </w:rPr>
      </w:pPr>
      <w:r>
        <w:rPr>
          <w:rFonts w:hint="eastAsia" w:ascii="宋体" w:hAnsi="宋体" w:cs="宋体"/>
          <w:b/>
          <w:sz w:val="22"/>
          <w:szCs w:val="22"/>
        </w:rPr>
        <w:t>第十四条 投标要求：</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1.投标文件编制：</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1.1 投标文件应包括：1.《法人授权委托书》(一式两份。一份须密封在投标文件中，另一份由被委托人随身携带) 2.《投标书》 3.《承诺书》 </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1.2 投标文件应使用A4尺寸纸打印且正式装订，由投标人加盖公章，并有法定代表人或法定代表人授权委托的代理人印鉴或签字。</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1.3 全套投标文件应无涂改和行间插字（除非这些删改是根据招标人的指示进行的，或者是投标人造成的错误且必须修改的，修改处必须由投标文件签署人加盖印鉴）。</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1.4 投标人应当使用招标文件中所提供的文件格式填写，如不够用时，投标人可按同样格式自行编制和添补。</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1.5 密封：投标人必须将投标文件密封并加盖单位公章和法定代表人印章，填写好密封日期及在何时间之前不准启封的日期。</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2.投标文件的修改与撤回：</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2.1 投标人在递交投标文件之后，在规定的投标截止日期之前，可以以书面形式向招标人递交补充、修改、替代或撤回其投标文件。在投标截止日期以后，不得更改投标文件。</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2.2 投标人需要补充、修改、替代或撤回投标文件时，密封袋上应标明“补充”、“修改”、“替代”或“撤回”等字样。</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2.3 投标截止以后，在投标有效期内，投标人不得撤回投标文件，否则其投标保证金不予退还。</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3.投标文件递交与接收：</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3.1 投标人须按照招标文件中规定的递交投标文件截止日期之前，将投标文件递交到指定地点。</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3.2 投标文件有下列情形之一的，招标人不予受理：</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3.3 逾期送达的或者未送达至指定地点的；</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3.4 未按招标文件要求编制、签署、密封与递交的；</w:t>
      </w:r>
    </w:p>
    <w:p>
      <w:pPr>
        <w:tabs>
          <w:tab w:val="left" w:pos="555"/>
        </w:tabs>
        <w:spacing w:line="400" w:lineRule="exact"/>
        <w:ind w:firstLine="440" w:firstLineChars="200"/>
        <w:textAlignment w:val="baseline"/>
        <w:rPr>
          <w:rFonts w:ascii="宋体" w:hAnsi="宋体" w:cs="宋体"/>
          <w:color w:val="000000"/>
          <w:sz w:val="22"/>
          <w:szCs w:val="22"/>
        </w:rPr>
      </w:pPr>
      <w:r>
        <w:rPr>
          <w:rFonts w:hint="eastAsia" w:ascii="宋体" w:hAnsi="宋体" w:cs="宋体"/>
          <w:color w:val="000000"/>
          <w:sz w:val="22"/>
          <w:szCs w:val="22"/>
        </w:rPr>
        <w:t>3.5 其他不具备受理的投标文件。</w:t>
      </w:r>
    </w:p>
    <w:p>
      <w:pPr>
        <w:tabs>
          <w:tab w:val="left" w:pos="555"/>
        </w:tabs>
        <w:spacing w:line="400" w:lineRule="exact"/>
        <w:textAlignment w:val="baseline"/>
        <w:rPr>
          <w:rFonts w:ascii="宋体" w:hAnsi="宋体" w:cs="宋体"/>
          <w:sz w:val="22"/>
          <w:szCs w:val="22"/>
        </w:rPr>
      </w:pPr>
      <w:r>
        <w:rPr>
          <w:rFonts w:hint="eastAsia" w:ascii="宋体" w:hAnsi="宋体" w:cs="宋体"/>
          <w:b/>
          <w:sz w:val="22"/>
          <w:szCs w:val="22"/>
        </w:rPr>
        <w:t>第十五条 投标费用：</w:t>
      </w:r>
    </w:p>
    <w:p>
      <w:pPr>
        <w:tabs>
          <w:tab w:val="left" w:pos="555"/>
        </w:tabs>
        <w:spacing w:line="400" w:lineRule="exact"/>
        <w:ind w:firstLine="539" w:firstLineChars="245"/>
        <w:textAlignment w:val="baseline"/>
        <w:rPr>
          <w:rFonts w:ascii="宋体" w:hAnsi="宋体" w:cs="宋体"/>
          <w:color w:val="000000"/>
          <w:sz w:val="22"/>
          <w:szCs w:val="22"/>
        </w:rPr>
      </w:pPr>
      <w:r>
        <w:rPr>
          <w:rFonts w:hint="eastAsia" w:ascii="宋体" w:hAnsi="宋体" w:cs="宋体"/>
          <w:sz w:val="22"/>
          <w:szCs w:val="22"/>
        </w:rPr>
        <w:t>1.</w:t>
      </w:r>
      <w:r>
        <w:rPr>
          <w:rFonts w:hint="eastAsia" w:ascii="宋体" w:hAnsi="宋体" w:cs="宋体"/>
          <w:color w:val="000000"/>
          <w:sz w:val="22"/>
          <w:szCs w:val="22"/>
        </w:rPr>
        <w:t>无论投标结果如何</w:t>
      </w:r>
      <w:r>
        <w:rPr>
          <w:rFonts w:hint="eastAsia" w:ascii="宋体" w:hAnsi="宋体" w:cs="宋体"/>
          <w:sz w:val="22"/>
          <w:szCs w:val="22"/>
        </w:rPr>
        <w:t>，投标人应自行承担其参与该投标活动所需一切费用，招标人对</w:t>
      </w:r>
      <w:r>
        <w:rPr>
          <w:rFonts w:hint="eastAsia" w:ascii="宋体" w:hAnsi="宋体" w:cs="宋体"/>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cs="宋体"/>
          <w:color w:val="000000"/>
          <w:sz w:val="22"/>
          <w:szCs w:val="22"/>
        </w:rPr>
        <w:t>投标人不予任何补偿。</w:t>
      </w:r>
    </w:p>
    <w:p>
      <w:pPr>
        <w:tabs>
          <w:tab w:val="left" w:pos="555"/>
        </w:tabs>
        <w:spacing w:line="400" w:lineRule="exact"/>
        <w:textAlignment w:val="baseline"/>
        <w:rPr>
          <w:rFonts w:ascii="宋体" w:hAnsi="宋体" w:cs="宋体"/>
          <w:color w:val="000000"/>
          <w:sz w:val="22"/>
          <w:szCs w:val="22"/>
        </w:rPr>
      </w:pPr>
      <w:r>
        <w:rPr>
          <w:rFonts w:hint="eastAsia" w:ascii="宋体" w:hAnsi="宋体" w:cs="宋体"/>
          <w:b/>
          <w:color w:val="000000"/>
          <w:sz w:val="22"/>
          <w:szCs w:val="22"/>
        </w:rPr>
        <w:t>第十六条 投标保证与履约保证金</w:t>
      </w:r>
      <w:r>
        <w:rPr>
          <w:rFonts w:hint="eastAsia" w:ascii="宋体" w:hAnsi="宋体" w:cs="宋体"/>
          <w:color w:val="000000"/>
          <w:sz w:val="22"/>
          <w:szCs w:val="22"/>
        </w:rPr>
        <w:t>：</w:t>
      </w:r>
    </w:p>
    <w:p>
      <w:pPr>
        <w:spacing w:line="360" w:lineRule="auto"/>
        <w:ind w:firstLine="330" w:firstLineChars="150"/>
        <w:rPr>
          <w:rFonts w:ascii="宋体" w:hAnsi="宋体" w:cs="宋体"/>
          <w:color w:val="000000"/>
          <w:sz w:val="22"/>
          <w:szCs w:val="22"/>
        </w:rPr>
      </w:pPr>
      <w:r>
        <w:rPr>
          <w:rFonts w:hint="eastAsia" w:ascii="宋体" w:hAnsi="宋体" w:cs="宋体"/>
          <w:color w:val="000000"/>
          <w:sz w:val="22"/>
          <w:szCs w:val="22"/>
        </w:rPr>
        <w:t>1.</w:t>
      </w:r>
      <w:r>
        <w:rPr>
          <w:rFonts w:hint="eastAsia" w:ascii="宋体" w:hAnsi="宋体" w:cs="宋体"/>
          <w:b/>
          <w:bCs/>
          <w:color w:val="000000"/>
          <w:sz w:val="22"/>
          <w:szCs w:val="22"/>
        </w:rPr>
        <w:t>本工程投标保证金为100000.00元（拾万元整）</w:t>
      </w:r>
      <w:r>
        <w:rPr>
          <w:rFonts w:hint="eastAsia" w:ascii="宋体" w:hAnsi="宋体" w:cs="宋体"/>
          <w:color w:val="000000"/>
          <w:sz w:val="22"/>
          <w:szCs w:val="22"/>
        </w:rPr>
        <w:t>，投标保证金汇缴及退付以转账形式进行。投标保证金款项必须从投标人的账户中汇出。投标保证金必须在开标前到达安徽新集矿山建设工程有限公司银行账户并出具汇款凭证（可随身携带）；</w:t>
      </w:r>
    </w:p>
    <w:p>
      <w:pPr>
        <w:tabs>
          <w:tab w:val="left" w:pos="555"/>
        </w:tabs>
        <w:spacing w:line="400" w:lineRule="exact"/>
        <w:ind w:firstLine="550" w:firstLineChars="250"/>
        <w:textAlignment w:val="baseline"/>
        <w:rPr>
          <w:rFonts w:ascii="宋体" w:hAnsi="宋体" w:cs="宋体"/>
          <w:color w:val="000000"/>
          <w:sz w:val="22"/>
          <w:szCs w:val="22"/>
        </w:rPr>
      </w:pPr>
      <w:r>
        <w:rPr>
          <w:rFonts w:hint="eastAsia" w:ascii="宋体" w:hAnsi="宋体" w:cs="宋体"/>
          <w:color w:val="000000"/>
          <w:sz w:val="22"/>
          <w:szCs w:val="22"/>
        </w:rPr>
        <w:t>投标保证金递交信息如下：</w:t>
      </w:r>
    </w:p>
    <w:p>
      <w:pPr>
        <w:tabs>
          <w:tab w:val="left" w:pos="555"/>
        </w:tabs>
        <w:spacing w:line="400" w:lineRule="exact"/>
        <w:ind w:firstLine="550" w:firstLineChars="250"/>
        <w:textAlignment w:val="baseline"/>
        <w:rPr>
          <w:rFonts w:ascii="宋体" w:hAnsi="宋体" w:cs="宋体"/>
          <w:color w:val="000000"/>
          <w:sz w:val="22"/>
          <w:szCs w:val="22"/>
        </w:rPr>
      </w:pPr>
      <w:r>
        <w:rPr>
          <w:rFonts w:hint="eastAsia" w:ascii="宋体" w:hAnsi="宋体" w:cs="宋体"/>
          <w:color w:val="000000"/>
          <w:sz w:val="22"/>
          <w:szCs w:val="22"/>
        </w:rPr>
        <w:t>名称：安徽新集矿山建设工程有限公司</w:t>
      </w:r>
    </w:p>
    <w:p>
      <w:pPr>
        <w:tabs>
          <w:tab w:val="left" w:pos="555"/>
        </w:tabs>
        <w:spacing w:line="400" w:lineRule="exact"/>
        <w:ind w:firstLine="550" w:firstLineChars="250"/>
        <w:textAlignment w:val="baseline"/>
        <w:rPr>
          <w:rFonts w:ascii="宋体" w:hAnsi="宋体" w:cs="宋体"/>
          <w:color w:val="000000"/>
          <w:sz w:val="22"/>
          <w:szCs w:val="22"/>
        </w:rPr>
      </w:pPr>
      <w:r>
        <w:rPr>
          <w:rFonts w:hint="eastAsia" w:ascii="宋体" w:hAnsi="宋体" w:cs="宋体"/>
          <w:color w:val="000000"/>
          <w:sz w:val="22"/>
          <w:szCs w:val="22"/>
        </w:rPr>
        <w:t xml:space="preserve">账号：181205791225  </w:t>
      </w:r>
    </w:p>
    <w:p>
      <w:pPr>
        <w:tabs>
          <w:tab w:val="left" w:pos="555"/>
        </w:tabs>
        <w:spacing w:line="400" w:lineRule="exact"/>
        <w:ind w:firstLine="550" w:firstLineChars="250"/>
        <w:textAlignment w:val="baseline"/>
        <w:rPr>
          <w:rFonts w:ascii="宋体" w:hAnsi="宋体" w:cs="宋体"/>
          <w:color w:val="000000"/>
          <w:sz w:val="22"/>
          <w:szCs w:val="22"/>
        </w:rPr>
      </w:pPr>
      <w:r>
        <w:rPr>
          <w:rFonts w:hint="eastAsia" w:ascii="宋体" w:hAnsi="宋体" w:cs="宋体"/>
          <w:color w:val="000000"/>
          <w:sz w:val="22"/>
          <w:szCs w:val="22"/>
        </w:rPr>
        <w:t>开户行：中国银行淮南新集支行</w:t>
      </w:r>
    </w:p>
    <w:p>
      <w:pPr>
        <w:tabs>
          <w:tab w:val="left" w:pos="555"/>
        </w:tabs>
        <w:spacing w:line="400" w:lineRule="exact"/>
        <w:ind w:firstLine="550" w:firstLineChars="250"/>
        <w:textAlignment w:val="baseline"/>
        <w:rPr>
          <w:rFonts w:ascii="宋体" w:hAnsi="宋体" w:cs="宋体"/>
          <w:color w:val="000000"/>
          <w:sz w:val="22"/>
          <w:szCs w:val="22"/>
        </w:rPr>
      </w:pPr>
      <w:r>
        <w:rPr>
          <w:rFonts w:hint="eastAsia" w:ascii="宋体" w:hAnsi="宋体" w:cs="宋体"/>
          <w:color w:val="000000"/>
          <w:sz w:val="22"/>
          <w:szCs w:val="22"/>
        </w:rPr>
        <w:t>2.投标保证金的退还：投标截止之日起未被采纳人在10个工作日内无息退还投标保证金，</w:t>
      </w:r>
      <w:r>
        <w:rPr>
          <w:rFonts w:hint="eastAsia" w:ascii="宋体" w:hAnsi="宋体" w:cs="宋体"/>
          <w:sz w:val="22"/>
          <w:szCs w:val="22"/>
        </w:rPr>
        <w:t>被采纳人</w:t>
      </w:r>
      <w:r>
        <w:rPr>
          <w:rFonts w:hint="eastAsia" w:ascii="宋体" w:hAnsi="宋体" w:cs="宋体"/>
          <w:color w:val="000000"/>
          <w:sz w:val="22"/>
          <w:szCs w:val="22"/>
        </w:rPr>
        <w:t>投标保证金将直接转为履约保证金。</w:t>
      </w:r>
    </w:p>
    <w:p>
      <w:pPr>
        <w:tabs>
          <w:tab w:val="left" w:pos="555"/>
        </w:tabs>
        <w:spacing w:line="400" w:lineRule="exact"/>
        <w:textAlignment w:val="baseline"/>
        <w:rPr>
          <w:rFonts w:ascii="宋体" w:hAnsi="宋体" w:cs="宋体"/>
          <w:sz w:val="22"/>
          <w:szCs w:val="22"/>
        </w:rPr>
      </w:pPr>
      <w:r>
        <w:rPr>
          <w:rFonts w:hint="eastAsia" w:ascii="宋体" w:hAnsi="宋体" w:cs="宋体"/>
          <w:b/>
          <w:sz w:val="22"/>
          <w:szCs w:val="22"/>
        </w:rPr>
        <w:t>第十七条投标截止时间：</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在招标文件公布之日起，有意向投标方根据招标文件要求，定于2023年11月13日当天9时前，各投标单位把投标文件递交至安徽新集矿山建设工程有限公司经营管理部（淮南市田家庵区龙湖南路9号新舜大厦7楼），逾期送达的投标文件将被拒绝。2023年11月13日10时前当众开启各方投标文件。</w:t>
      </w:r>
    </w:p>
    <w:p>
      <w:pPr>
        <w:tabs>
          <w:tab w:val="left" w:pos="555"/>
        </w:tabs>
        <w:spacing w:line="400" w:lineRule="exact"/>
        <w:textAlignment w:val="baseline"/>
        <w:rPr>
          <w:rFonts w:ascii="宋体" w:hAnsi="宋体" w:cs="宋体"/>
          <w:b/>
          <w:sz w:val="22"/>
          <w:szCs w:val="22"/>
        </w:rPr>
      </w:pPr>
      <w:r>
        <w:rPr>
          <w:rFonts w:hint="eastAsia" w:ascii="宋体" w:hAnsi="宋体" w:cs="宋体"/>
          <w:b/>
          <w:sz w:val="22"/>
          <w:szCs w:val="22"/>
        </w:rPr>
        <w:t>第十八条 招标文件的解释：</w:t>
      </w: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sz w:val="22"/>
          <w:szCs w:val="22"/>
        </w:rPr>
        <w:t>本文件的最终解释权为安徽新集矿山建设工程有限公司所有。</w:t>
      </w:r>
    </w:p>
    <w:p>
      <w:pPr>
        <w:tabs>
          <w:tab w:val="left" w:pos="555"/>
        </w:tabs>
        <w:spacing w:line="400" w:lineRule="exact"/>
        <w:ind w:firstLine="440" w:firstLineChars="200"/>
        <w:textAlignment w:val="baseline"/>
        <w:rPr>
          <w:rFonts w:ascii="宋体" w:hAnsi="宋体" w:cs="宋体"/>
          <w:b/>
          <w:sz w:val="22"/>
          <w:szCs w:val="22"/>
        </w:rPr>
      </w:pPr>
    </w:p>
    <w:p>
      <w:pPr>
        <w:tabs>
          <w:tab w:val="left" w:pos="555"/>
        </w:tabs>
        <w:spacing w:line="400" w:lineRule="exact"/>
        <w:ind w:firstLine="440" w:firstLineChars="200"/>
        <w:textAlignment w:val="baseline"/>
        <w:rPr>
          <w:rFonts w:ascii="宋体" w:hAnsi="宋体" w:cs="宋体"/>
          <w:sz w:val="22"/>
          <w:szCs w:val="22"/>
        </w:rPr>
      </w:pPr>
      <w:r>
        <w:rPr>
          <w:rFonts w:hint="eastAsia" w:ascii="宋体" w:hAnsi="宋体" w:cs="宋体"/>
          <w:b/>
          <w:sz w:val="22"/>
          <w:szCs w:val="22"/>
        </w:rPr>
        <w:t>附件：</w:t>
      </w:r>
      <w:r>
        <w:rPr>
          <w:rFonts w:hint="eastAsia" w:ascii="宋体" w:hAnsi="宋体" w:cs="宋体"/>
          <w:sz w:val="22"/>
          <w:szCs w:val="22"/>
        </w:rPr>
        <w:t>1.《法人授权委托书》</w:t>
      </w:r>
    </w:p>
    <w:p>
      <w:pPr>
        <w:tabs>
          <w:tab w:val="left" w:pos="555"/>
        </w:tabs>
        <w:spacing w:line="400" w:lineRule="exact"/>
        <w:ind w:firstLine="1100" w:firstLineChars="500"/>
        <w:textAlignment w:val="baseline"/>
        <w:rPr>
          <w:rFonts w:ascii="宋体" w:hAnsi="宋体" w:cs="宋体"/>
          <w:sz w:val="22"/>
          <w:szCs w:val="22"/>
        </w:rPr>
      </w:pPr>
      <w:r>
        <w:rPr>
          <w:rFonts w:hint="eastAsia" w:ascii="宋体" w:hAnsi="宋体" w:cs="宋体"/>
          <w:sz w:val="22"/>
          <w:szCs w:val="22"/>
        </w:rPr>
        <w:t>2.《报价书》</w:t>
      </w:r>
    </w:p>
    <w:p>
      <w:pPr>
        <w:tabs>
          <w:tab w:val="left" w:pos="555"/>
        </w:tabs>
        <w:spacing w:line="400" w:lineRule="exact"/>
        <w:ind w:firstLine="1100" w:firstLineChars="500"/>
        <w:textAlignment w:val="baseline"/>
        <w:rPr>
          <w:rFonts w:ascii="宋体" w:hAnsi="宋体" w:cs="宋体"/>
          <w:sz w:val="22"/>
          <w:szCs w:val="22"/>
        </w:rPr>
      </w:pPr>
      <w:r>
        <w:rPr>
          <w:rFonts w:hint="eastAsia" w:ascii="宋体" w:hAnsi="宋体" w:cs="宋体"/>
          <w:sz w:val="22"/>
          <w:szCs w:val="22"/>
        </w:rPr>
        <w:t>3.《承诺书》</w:t>
      </w: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r>
        <w:rPr>
          <w:rFonts w:hint="eastAsia" w:ascii="微软雅黑" w:hAnsi="微软雅黑" w:eastAsia="微软雅黑" w:cs="微软雅黑"/>
          <w:sz w:val="24"/>
          <w:szCs w:val="24"/>
        </w:rPr>
        <w:t>附件一</w:t>
      </w:r>
    </w:p>
    <w:p>
      <w:pPr>
        <w:tabs>
          <w:tab w:val="left" w:pos="555"/>
        </w:tabs>
        <w:spacing w:line="640" w:lineRule="exact"/>
        <w:jc w:val="center"/>
        <w:textAlignment w:val="baseline"/>
        <w:rPr>
          <w:rFonts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pPr>
        <w:tabs>
          <w:tab w:val="left" w:pos="555"/>
        </w:tabs>
        <w:spacing w:line="600" w:lineRule="exact"/>
        <w:textAlignment w:val="baseline"/>
        <w:rPr>
          <w:rFonts w:ascii="微软雅黑" w:hAnsi="微软雅黑" w:eastAsia="微软雅黑" w:cs="微软雅黑"/>
          <w:sz w:val="24"/>
        </w:rPr>
      </w:pPr>
    </w:p>
    <w:p>
      <w:pPr>
        <w:pStyle w:val="9"/>
        <w:snapToGrid w:val="0"/>
        <w:spacing w:line="600" w:lineRule="exact"/>
        <w:ind w:firstLine="480" w:firstLineChars="200"/>
        <w:textAlignment w:val="baseline"/>
        <w:rPr>
          <w:rFonts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公司法定代表人。现授权我公司</w:t>
      </w:r>
      <w:r>
        <w:rPr>
          <w:rFonts w:hint="eastAsia" w:ascii="微软雅黑" w:hAnsi="微软雅黑" w:eastAsia="微软雅黑" w:cs="微软雅黑"/>
          <w:sz w:val="24"/>
          <w:szCs w:val="24"/>
          <w:u w:val="single"/>
        </w:rPr>
        <w:t>（姓名）          （身份证号：           ） 女士/先生，</w:t>
      </w:r>
      <w:r>
        <w:rPr>
          <w:rFonts w:hint="eastAsia" w:ascii="微软雅黑" w:hAnsi="微软雅黑" w:eastAsia="微软雅黑" w:cs="微软雅黑"/>
          <w:sz w:val="24"/>
          <w:szCs w:val="24"/>
        </w:rPr>
        <w:t xml:space="preserve"> 作为我公司合法代理人，以我公司名义并代表我公司全权处理淮南市能源数据中心及数字经济万创园土方外运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pStyle w:val="9"/>
        <w:snapToGrid w:val="0"/>
        <w:spacing w:line="600" w:lineRule="exact"/>
        <w:ind w:firstLine="420"/>
        <w:textAlignment w:val="baseline"/>
        <w:rPr>
          <w:rFonts w:ascii="微软雅黑" w:hAnsi="微软雅黑" w:eastAsia="微软雅黑" w:cs="微软雅黑"/>
          <w:sz w:val="24"/>
          <w:szCs w:val="24"/>
        </w:rPr>
      </w:pPr>
    </w:p>
    <w:p>
      <w:pPr>
        <w:spacing w:line="6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委托单位名称：（盖章）</w:t>
      </w:r>
    </w:p>
    <w:p>
      <w:pPr>
        <w:spacing w:line="400" w:lineRule="exact"/>
        <w:ind w:firstLine="2400" w:firstLineChars="1000"/>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法定代表人姓名：（签名或盖章）</w:t>
      </w:r>
    </w:p>
    <w:p>
      <w:pPr>
        <w:spacing w:line="400" w:lineRule="exact"/>
        <w:ind w:firstLine="3360"/>
        <w:jc w:val="center"/>
        <w:textAlignment w:val="baseline"/>
        <w:rPr>
          <w:rFonts w:ascii="微软雅黑" w:hAnsi="微软雅黑" w:eastAsia="微软雅黑" w:cs="微软雅黑"/>
          <w:sz w:val="24"/>
        </w:rPr>
      </w:pPr>
      <w:r>
        <w:rPr>
          <w:rFonts w:hint="eastAsia" w:ascii="微软雅黑" w:hAnsi="微软雅黑" w:eastAsia="微软雅黑" w:cs="微软雅黑"/>
          <w:sz w:val="24"/>
        </w:rPr>
        <w:t>年   月   日</w:t>
      </w:r>
    </w:p>
    <w:p>
      <w:pPr>
        <w:spacing w:line="400" w:lineRule="exact"/>
        <w:ind w:firstLine="3360"/>
        <w:jc w:val="center"/>
        <w:textAlignment w:val="baseline"/>
        <w:rPr>
          <w:rFonts w:ascii="微软雅黑" w:hAnsi="微软雅黑" w:eastAsia="微软雅黑" w:cs="微软雅黑"/>
          <w:sz w:val="24"/>
        </w:rPr>
      </w:pPr>
    </w:p>
    <w:p>
      <w:pPr>
        <w:spacing w:line="400" w:lineRule="exact"/>
        <w:textAlignment w:val="baseline"/>
        <w:rPr>
          <w:rFonts w:ascii="微软雅黑" w:hAnsi="微软雅黑" w:eastAsia="微软雅黑" w:cs="微软雅黑"/>
          <w:sz w:val="24"/>
        </w:rPr>
      </w:pPr>
      <w:r>
        <w:rPr>
          <w:rFonts w:hint="eastAsia" w:ascii="微软雅黑" w:hAnsi="微软雅黑" w:eastAsia="微软雅黑" w:cs="微软雅黑"/>
          <w:sz w:val="24"/>
        </w:rPr>
        <w:t>注：1. 本委托书为法人授权委托被委托人在本工程专用，无委转委托权；</w:t>
      </w:r>
    </w:p>
    <w:p>
      <w:pPr>
        <w:spacing w:line="400" w:lineRule="exact"/>
        <w:ind w:firstLine="435"/>
        <w:textAlignment w:val="baseline"/>
        <w:rPr>
          <w:rFonts w:ascii="微软雅黑" w:hAnsi="微软雅黑" w:eastAsia="微软雅黑" w:cs="微软雅黑"/>
          <w:color w:val="000000"/>
          <w:sz w:val="24"/>
        </w:rPr>
      </w:pPr>
      <w:r>
        <w:rPr>
          <w:rFonts w:hint="eastAsia" w:ascii="微软雅黑" w:hAnsi="微软雅黑" w:eastAsia="微软雅黑" w:cs="微软雅黑"/>
          <w:sz w:val="24"/>
        </w:rPr>
        <w:t>2. 授权委托书须由授权委托单位法定代表人签名或盖章，并说明委托事项和权限方为有效。</w:t>
      </w:r>
    </w:p>
    <w:p>
      <w:pPr>
        <w:spacing w:line="400" w:lineRule="exact"/>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3. 法定代表人或被委托人须提供合法有效的身份证明证件；</w:t>
      </w:r>
    </w:p>
    <w:p>
      <w:pPr>
        <w:spacing w:line="400" w:lineRule="exact"/>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4. 此书一式三份。一份由委托人存查，二份递交招标人存卷。</w:t>
      </w: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z w:val="24"/>
          <w:szCs w:val="24"/>
        </w:rPr>
      </w:pPr>
    </w:p>
    <w:p>
      <w:pPr>
        <w:pStyle w:val="9"/>
        <w:snapToGrid w:val="0"/>
        <w:spacing w:line="400" w:lineRule="exact"/>
        <w:textAlignment w:val="baseline"/>
        <w:rPr>
          <w:rFonts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pPr>
        <w:spacing w:line="360" w:lineRule="auto"/>
        <w:ind w:firstLine="435"/>
        <w:jc w:val="center"/>
        <w:textAlignment w:val="baseline"/>
        <w:rPr>
          <w:rFonts w:ascii="微软雅黑" w:hAnsi="微软雅黑" w:eastAsia="微软雅黑" w:cs="微软雅黑"/>
          <w:b/>
          <w:bCs/>
          <w:sz w:val="44"/>
          <w:szCs w:val="44"/>
        </w:rPr>
      </w:pPr>
      <w:r>
        <w:rPr>
          <w:rFonts w:hint="eastAsia" w:ascii="微软雅黑" w:hAnsi="微软雅黑" w:eastAsia="微软雅黑" w:cs="微软雅黑"/>
          <w:b/>
          <w:bCs/>
          <w:sz w:val="44"/>
          <w:szCs w:val="44"/>
        </w:rPr>
        <w:t>报 价 书</w:t>
      </w:r>
    </w:p>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安徽新集矿山建设工程有限公司：</w:t>
      </w:r>
    </w:p>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淮南市能源数据中心及数字经济万创园土方外运工程工程招标文件，我单位经考察现场和研究上述工程招标文件后，我方投标如下：</w:t>
      </w:r>
    </w:p>
    <w:tbl>
      <w:tblPr>
        <w:tblStyle w:val="20"/>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序号</w:t>
            </w:r>
          </w:p>
        </w:tc>
        <w:tc>
          <w:tcPr>
            <w:tcW w:w="2015" w:type="dxa"/>
            <w:shd w:val="clear" w:color="auto" w:fill="auto"/>
            <w:noWrap/>
            <w:vAlign w:val="center"/>
          </w:tcPr>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项目名称</w:t>
            </w:r>
          </w:p>
        </w:tc>
        <w:tc>
          <w:tcPr>
            <w:tcW w:w="6227" w:type="dxa"/>
            <w:shd w:val="clear" w:color="auto" w:fill="auto"/>
            <w:noWrap/>
            <w:vAlign w:val="center"/>
          </w:tcPr>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1</w:t>
            </w:r>
          </w:p>
        </w:tc>
        <w:tc>
          <w:tcPr>
            <w:tcW w:w="2015" w:type="dxa"/>
            <w:shd w:val="clear" w:color="auto" w:fill="auto"/>
            <w:noWrap/>
            <w:vAlign w:val="center"/>
          </w:tcPr>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最终投标</w:t>
            </w:r>
          </w:p>
        </w:tc>
        <w:tc>
          <w:tcPr>
            <w:tcW w:w="6227" w:type="dxa"/>
            <w:shd w:val="clear" w:color="auto" w:fill="auto"/>
            <w:noWrap/>
            <w:vAlign w:val="center"/>
          </w:tcPr>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小写：                大写：</w:t>
            </w:r>
          </w:p>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其中含%增值专用税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2</w:t>
            </w:r>
          </w:p>
        </w:tc>
        <w:tc>
          <w:tcPr>
            <w:tcW w:w="2015" w:type="dxa"/>
            <w:shd w:val="clear" w:color="auto" w:fill="auto"/>
            <w:noWrap/>
            <w:vAlign w:val="center"/>
          </w:tcPr>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工  期</w:t>
            </w:r>
          </w:p>
        </w:tc>
        <w:tc>
          <w:tcPr>
            <w:tcW w:w="6227" w:type="dxa"/>
            <w:shd w:val="clear" w:color="auto" w:fill="auto"/>
            <w:noWrap/>
            <w:vAlign w:val="center"/>
          </w:tcPr>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3</w:t>
            </w:r>
          </w:p>
        </w:tc>
        <w:tc>
          <w:tcPr>
            <w:tcW w:w="2015" w:type="dxa"/>
            <w:shd w:val="clear" w:color="auto" w:fill="auto"/>
            <w:noWrap/>
            <w:vAlign w:val="center"/>
          </w:tcPr>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投标说明</w:t>
            </w:r>
          </w:p>
        </w:tc>
        <w:tc>
          <w:tcPr>
            <w:tcW w:w="6227" w:type="dxa"/>
            <w:shd w:val="clear" w:color="auto" w:fill="auto"/>
            <w:noWrap/>
            <w:vAlign w:val="center"/>
          </w:tcPr>
          <w:p>
            <w:pPr>
              <w:spacing w:line="360" w:lineRule="auto"/>
              <w:ind w:firstLine="435"/>
              <w:textAlignment w:val="baseline"/>
              <w:rPr>
                <w:rFonts w:ascii="微软雅黑" w:hAnsi="微软雅黑" w:eastAsia="微软雅黑" w:cs="微软雅黑"/>
                <w:sz w:val="24"/>
              </w:rPr>
            </w:pPr>
          </w:p>
        </w:tc>
      </w:tr>
    </w:tbl>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1、以上总价内包括完成本分包工程内的人工费、材料费、机械费、管理费、水电费、利润、税金、规费、技术措施费、机械进出场费、检测费、安全文明施工费等一切为完成本项目的所有费用。</w:t>
      </w:r>
    </w:p>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2、按招标文件要求承包上述工程的施工、竣工。</w:t>
      </w:r>
    </w:p>
    <w:p>
      <w:pPr>
        <w:tabs>
          <w:tab w:val="left" w:pos="555"/>
        </w:tabs>
        <w:spacing w:line="400" w:lineRule="exact"/>
        <w:ind w:firstLine="480" w:firstLineChars="200"/>
        <w:textAlignment w:val="baseline"/>
        <w:rPr>
          <w:rFonts w:ascii="宋体" w:hAnsi="宋体" w:cs="宋体"/>
          <w:sz w:val="24"/>
        </w:rPr>
      </w:pPr>
      <w:r>
        <w:rPr>
          <w:rFonts w:hint="eastAsia" w:ascii="微软雅黑" w:hAnsi="微软雅黑" w:eastAsia="微软雅黑" w:cs="微软雅黑"/>
          <w:sz w:val="24"/>
        </w:rPr>
        <w:t>3、工期及质量承诺：一旦与我方达成协议，我方保证按照招标方工期要求完工，并确保工程质量符合设计图纸及规范要求。若我方无故未按工期完工，延迟5日内（包含5日），每天扣违约金1000元；延迟5日以上15日以下（包含15日），每天扣违约金5000元；延长15日以上30日以下（包含30日），每天扣违约金10000元；延长超过30日，贵方有权解除与投标人签订的合同。</w:t>
      </w:r>
    </w:p>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4、我司承诺：按照招标人最新的施工组织设计安排生产力。</w:t>
      </w:r>
    </w:p>
    <w:p>
      <w:pPr>
        <w:spacing w:line="360" w:lineRule="auto"/>
        <w:ind w:firstLine="435"/>
        <w:textAlignment w:val="baseline"/>
        <w:rPr>
          <w:rFonts w:ascii="微软雅黑" w:hAnsi="微软雅黑" w:eastAsia="微软雅黑" w:cs="微软雅黑"/>
          <w:sz w:val="24"/>
        </w:rPr>
      </w:pPr>
      <w:r>
        <w:rPr>
          <w:rFonts w:hint="eastAsia" w:ascii="微软雅黑" w:hAnsi="微软雅黑" w:eastAsia="微软雅黑" w:cs="微软雅黑"/>
          <w:sz w:val="24"/>
        </w:rPr>
        <w:t>5、除非另外达成协议并生效，你方的招标文件、通知书和本投标文件将构成约束我们双方的合同</w:t>
      </w:r>
    </w:p>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附件三</w:t>
      </w:r>
    </w:p>
    <w:p>
      <w:pPr>
        <w:spacing w:line="360" w:lineRule="auto"/>
        <w:jc w:val="center"/>
        <w:textAlignment w:val="baseline"/>
        <w:rPr>
          <w:rFonts w:ascii="微软雅黑" w:hAnsi="微软雅黑" w:eastAsia="微软雅黑" w:cs="微软雅黑"/>
          <w:b/>
          <w:bCs/>
          <w:sz w:val="44"/>
          <w:szCs w:val="44"/>
        </w:rPr>
      </w:pPr>
      <w:r>
        <w:rPr>
          <w:rFonts w:hint="eastAsia" w:ascii="微软雅黑" w:hAnsi="微软雅黑" w:eastAsia="微软雅黑" w:cs="微软雅黑"/>
          <w:b/>
          <w:bCs/>
          <w:sz w:val="44"/>
          <w:szCs w:val="44"/>
        </w:rPr>
        <w:t>承诺书</w:t>
      </w:r>
    </w:p>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致：安徽新集矿山建设工程有限公司</w:t>
      </w:r>
    </w:p>
    <w:p>
      <w:pPr>
        <w:spacing w:line="360" w:lineRule="auto"/>
        <w:ind w:firstLine="480" w:firstLineChars="200"/>
        <w:textAlignment w:val="baseline"/>
        <w:rPr>
          <w:rFonts w:ascii="微软雅黑" w:hAnsi="微软雅黑" w:eastAsia="微软雅黑" w:cs="微软雅黑"/>
          <w:sz w:val="24"/>
        </w:rPr>
      </w:pPr>
      <w:r>
        <w:rPr>
          <w:rFonts w:hint="eastAsia" w:ascii="微软雅黑" w:hAnsi="微软雅黑" w:eastAsia="微软雅黑" w:cs="微软雅黑"/>
          <w:sz w:val="24"/>
        </w:rPr>
        <w:t>本次参加贵公司土方外运工程的投标，如有幸我公司中标，为确保工程保质、保量按期完成施工任务，我公司特承诺完全按照招标人要求</w:t>
      </w:r>
      <w:r>
        <w:rPr>
          <w:rFonts w:hint="eastAsia" w:ascii="微软雅黑" w:hAnsi="微软雅黑" w:eastAsia="微软雅黑" w:cs="微软雅黑"/>
          <w:sz w:val="24"/>
          <w:lang w:eastAsia="zh-CN"/>
        </w:rPr>
        <w:t>的运距</w:t>
      </w:r>
      <w:r>
        <w:rPr>
          <w:rFonts w:hint="eastAsia" w:ascii="微软雅黑" w:hAnsi="微软雅黑" w:eastAsia="微软雅黑" w:cs="微软雅黑"/>
          <w:sz w:val="24"/>
        </w:rPr>
        <w:t>办理渣土运输证、车辆通行证，否则自愿放弃中标资格及投标保证金。</w:t>
      </w:r>
      <w:bookmarkStart w:id="0" w:name="_GoBack"/>
      <w:bookmarkEnd w:id="0"/>
    </w:p>
    <w:p>
      <w:pPr>
        <w:spacing w:line="360" w:lineRule="auto"/>
        <w:textAlignment w:val="baseline"/>
        <w:rPr>
          <w:rFonts w:ascii="微软雅黑" w:hAnsi="微软雅黑" w:eastAsia="微软雅黑" w:cs="微软雅黑"/>
          <w:sz w:val="24"/>
        </w:rPr>
      </w:pPr>
    </w:p>
    <w:p>
      <w:pPr>
        <w:spacing w:line="360" w:lineRule="auto"/>
        <w:textAlignment w:val="baseline"/>
        <w:rPr>
          <w:rFonts w:ascii="微软雅黑" w:hAnsi="微软雅黑" w:eastAsia="微软雅黑" w:cs="微软雅黑"/>
          <w:sz w:val="24"/>
        </w:rPr>
      </w:pPr>
    </w:p>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单位名称： （公章）</w:t>
      </w:r>
    </w:p>
    <w:p>
      <w:pPr>
        <w:spacing w:line="360" w:lineRule="auto"/>
        <w:textAlignment w:val="baseline"/>
        <w:rPr>
          <w:rFonts w:ascii="微软雅黑" w:hAnsi="微软雅黑" w:eastAsia="微软雅黑" w:cs="微软雅黑"/>
          <w:sz w:val="24"/>
        </w:rPr>
      </w:pPr>
    </w:p>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法定代表人： （签字或盖章）</w:t>
      </w:r>
    </w:p>
    <w:p>
      <w:pPr>
        <w:spacing w:line="360" w:lineRule="auto"/>
        <w:textAlignment w:val="baseline"/>
        <w:rPr>
          <w:rFonts w:ascii="微软雅黑" w:hAnsi="微软雅黑" w:eastAsia="微软雅黑" w:cs="微软雅黑"/>
          <w:sz w:val="24"/>
        </w:rPr>
      </w:pPr>
    </w:p>
    <w:p>
      <w:pPr>
        <w:spacing w:line="360" w:lineRule="auto"/>
        <w:textAlignment w:val="baseline"/>
        <w:rPr>
          <w:rFonts w:ascii="微软雅黑" w:hAnsi="微软雅黑" w:eastAsia="微软雅黑" w:cs="微软雅黑"/>
          <w:sz w:val="24"/>
        </w:rPr>
      </w:pPr>
      <w:r>
        <w:rPr>
          <w:rFonts w:hint="eastAsia" w:ascii="微软雅黑" w:hAnsi="微软雅黑" w:eastAsia="微软雅黑" w:cs="微软雅黑"/>
          <w:sz w:val="24"/>
        </w:rPr>
        <w:t>项目负责人： （签字）</w:t>
      </w:r>
    </w:p>
    <w:p>
      <w:pPr>
        <w:spacing w:line="360" w:lineRule="auto"/>
        <w:ind w:firstLine="6480" w:firstLineChars="2700"/>
        <w:textAlignment w:val="baseline"/>
        <w:rPr>
          <w:rFonts w:ascii="微软雅黑" w:hAnsi="微软雅黑" w:eastAsia="微软雅黑" w:cs="微软雅黑"/>
          <w:sz w:val="24"/>
        </w:rPr>
      </w:pPr>
    </w:p>
    <w:p>
      <w:pPr>
        <w:spacing w:line="360" w:lineRule="auto"/>
        <w:ind w:left="1274" w:leftChars="607" w:firstLine="4800" w:firstLineChars="2000"/>
        <w:textAlignment w:val="baseline"/>
        <w:rPr>
          <w:rFonts w:hint="eastAsia"/>
        </w:rPr>
      </w:pPr>
      <w:r>
        <w:rPr>
          <w:rFonts w:hint="eastAsia" w:ascii="微软雅黑" w:hAnsi="微软雅黑" w:eastAsia="微软雅黑" w:cs="微软雅黑"/>
          <w:sz w:val="24"/>
        </w:rPr>
        <w:t>年    月   日</w:t>
      </w:r>
    </w:p>
    <w:sectPr>
      <w:headerReference r:id="rId3" w:type="default"/>
      <w:footerReference r:id="rId4" w:type="default"/>
      <w:pgSz w:w="11906" w:h="16838"/>
      <w:pgMar w:top="1701" w:right="1418" w:bottom="1701"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Narrow">
    <w:altName w:val="Arial"/>
    <w:panose1 w:val="00000000000000000000"/>
    <w:charset w:val="00"/>
    <w:family w:val="swiss"/>
    <w:pitch w:val="default"/>
    <w:sig w:usb0="00000000" w:usb1="00000000" w:usb2="00000000" w:usb3="00000000" w:csb0="0000009F" w:csb1="00000000"/>
  </w:font>
  <w:font w:name="方正书宋简体">
    <w:altName w:val="宋体"/>
    <w:panose1 w:val="00000000000000000000"/>
    <w:charset w:val="86"/>
    <w:family w:val="script"/>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90" w:firstLineChars="50"/>
      <w:jc w:val="both"/>
    </w:pPr>
    <w:r>
      <w:rPr>
        <w:rFonts w:hint="eastAsia" w:ascii="仿宋" w:hAnsi="仿宋" w:eastAsia="仿宋" w:cs="仿宋"/>
        <w:bCs/>
      </w:rPr>
      <w:drawing>
        <wp:anchor distT="0" distB="0" distL="114300" distR="114300" simplePos="0" relativeHeight="251659264" behindDoc="0" locked="0" layoutInCell="1" allowOverlap="1">
          <wp:simplePos x="0" y="0"/>
          <wp:positionH relativeFrom="column">
            <wp:posOffset>-481330</wp:posOffset>
          </wp:positionH>
          <wp:positionV relativeFrom="paragraph">
            <wp:posOffset>-416560</wp:posOffset>
          </wp:positionV>
          <wp:extent cx="489585" cy="552450"/>
          <wp:effectExtent l="19050" t="0" r="5715" b="0"/>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9585" cy="552450"/>
                  </a:xfrm>
                  <a:prstGeom prst="rect">
                    <a:avLst/>
                  </a:prstGeom>
                  <a:noFill/>
                  <a:ln>
                    <a:noFill/>
                  </a:ln>
                </pic:spPr>
              </pic:pic>
            </a:graphicData>
          </a:graphic>
        </wp:anchor>
      </w:drawing>
    </w:r>
    <w:r>
      <w:rPr>
        <w:rFonts w:hint="eastAsia" w:ascii="仿宋" w:hAnsi="仿宋" w:eastAsia="仿宋" w:cs="仿宋"/>
        <w:bCs/>
      </w:rPr>
      <w:t>淮南市能源数据中心及数字经济万创园土方外运工程</w:t>
    </w: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NlZTBhNjJkY2M1OGU5N2VjZTAxMzY0Mzg1Mjg2YTk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4E82"/>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56A4"/>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648"/>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27C35"/>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211"/>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4F4"/>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366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16543"/>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161F"/>
    <w:rsid w:val="00A43A0A"/>
    <w:rsid w:val="00A44231"/>
    <w:rsid w:val="00A44648"/>
    <w:rsid w:val="00A45D19"/>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6FF8"/>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442"/>
    <w:rsid w:val="00E6453F"/>
    <w:rsid w:val="00E729B7"/>
    <w:rsid w:val="00E744F5"/>
    <w:rsid w:val="00E75F55"/>
    <w:rsid w:val="00E763B8"/>
    <w:rsid w:val="00E87F89"/>
    <w:rsid w:val="00E90A6A"/>
    <w:rsid w:val="00E91751"/>
    <w:rsid w:val="00E91BBB"/>
    <w:rsid w:val="00E93146"/>
    <w:rsid w:val="00EA4093"/>
    <w:rsid w:val="00EA55F4"/>
    <w:rsid w:val="00EA5DBF"/>
    <w:rsid w:val="00EB0DBD"/>
    <w:rsid w:val="00EB5DD8"/>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17C5"/>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4155D4"/>
    <w:rsid w:val="0464654D"/>
    <w:rsid w:val="046C2691"/>
    <w:rsid w:val="055217BB"/>
    <w:rsid w:val="06672F26"/>
    <w:rsid w:val="0679645A"/>
    <w:rsid w:val="07A41B6D"/>
    <w:rsid w:val="07AB6D67"/>
    <w:rsid w:val="07E5385B"/>
    <w:rsid w:val="08377024"/>
    <w:rsid w:val="08A168EB"/>
    <w:rsid w:val="08AE69CF"/>
    <w:rsid w:val="08BC58B1"/>
    <w:rsid w:val="093525C0"/>
    <w:rsid w:val="0A0D0902"/>
    <w:rsid w:val="0A9170F4"/>
    <w:rsid w:val="0C3F14E5"/>
    <w:rsid w:val="0C6C4AB4"/>
    <w:rsid w:val="0CB90A3D"/>
    <w:rsid w:val="0CD12F73"/>
    <w:rsid w:val="0CE32F27"/>
    <w:rsid w:val="0D3B3F1D"/>
    <w:rsid w:val="0D7D62E4"/>
    <w:rsid w:val="0DD175F1"/>
    <w:rsid w:val="0E1211F1"/>
    <w:rsid w:val="0EE83C31"/>
    <w:rsid w:val="0F2D198C"/>
    <w:rsid w:val="0F57539B"/>
    <w:rsid w:val="0FFE370C"/>
    <w:rsid w:val="10E007EB"/>
    <w:rsid w:val="11121010"/>
    <w:rsid w:val="11262F49"/>
    <w:rsid w:val="126C0F7E"/>
    <w:rsid w:val="12A4673C"/>
    <w:rsid w:val="12EE7BA8"/>
    <w:rsid w:val="138F31EB"/>
    <w:rsid w:val="141D5AC6"/>
    <w:rsid w:val="150449C5"/>
    <w:rsid w:val="15FB1BA4"/>
    <w:rsid w:val="16BC6BF9"/>
    <w:rsid w:val="16D50BE2"/>
    <w:rsid w:val="17652130"/>
    <w:rsid w:val="17D4387B"/>
    <w:rsid w:val="17FA4320"/>
    <w:rsid w:val="181C164F"/>
    <w:rsid w:val="1833416F"/>
    <w:rsid w:val="18410E9B"/>
    <w:rsid w:val="1A986633"/>
    <w:rsid w:val="1AE87493"/>
    <w:rsid w:val="1B2F7BA9"/>
    <w:rsid w:val="1C1E25BB"/>
    <w:rsid w:val="1D690860"/>
    <w:rsid w:val="21B93BC9"/>
    <w:rsid w:val="22BD2F18"/>
    <w:rsid w:val="23393EAD"/>
    <w:rsid w:val="235417BA"/>
    <w:rsid w:val="235B4205"/>
    <w:rsid w:val="2377467F"/>
    <w:rsid w:val="24002E90"/>
    <w:rsid w:val="24140453"/>
    <w:rsid w:val="24A559A9"/>
    <w:rsid w:val="25C22D2B"/>
    <w:rsid w:val="25DC5E46"/>
    <w:rsid w:val="264C698D"/>
    <w:rsid w:val="26996F8B"/>
    <w:rsid w:val="270E4B55"/>
    <w:rsid w:val="28752728"/>
    <w:rsid w:val="29C055AE"/>
    <w:rsid w:val="29CC4423"/>
    <w:rsid w:val="2A0E16D8"/>
    <w:rsid w:val="2A26016F"/>
    <w:rsid w:val="2A6F24C4"/>
    <w:rsid w:val="2AFF365F"/>
    <w:rsid w:val="2C3D2AF1"/>
    <w:rsid w:val="2C475AB5"/>
    <w:rsid w:val="2C521B58"/>
    <w:rsid w:val="2CBB7AF3"/>
    <w:rsid w:val="2CDA5AE0"/>
    <w:rsid w:val="2CDA6E57"/>
    <w:rsid w:val="2D735209"/>
    <w:rsid w:val="2D962907"/>
    <w:rsid w:val="2DEC299E"/>
    <w:rsid w:val="2E7F382E"/>
    <w:rsid w:val="3024328C"/>
    <w:rsid w:val="30EB1633"/>
    <w:rsid w:val="30FC4AEC"/>
    <w:rsid w:val="31361E47"/>
    <w:rsid w:val="317544F0"/>
    <w:rsid w:val="31E247E4"/>
    <w:rsid w:val="329E2408"/>
    <w:rsid w:val="32C4009A"/>
    <w:rsid w:val="34385395"/>
    <w:rsid w:val="34825311"/>
    <w:rsid w:val="34970847"/>
    <w:rsid w:val="358525FB"/>
    <w:rsid w:val="35C404DF"/>
    <w:rsid w:val="35CD2081"/>
    <w:rsid w:val="3623645B"/>
    <w:rsid w:val="36F80606"/>
    <w:rsid w:val="37773C20"/>
    <w:rsid w:val="37D46F14"/>
    <w:rsid w:val="37D757C0"/>
    <w:rsid w:val="388E7474"/>
    <w:rsid w:val="398E1EB3"/>
    <w:rsid w:val="39960A86"/>
    <w:rsid w:val="39DA624D"/>
    <w:rsid w:val="3A23599A"/>
    <w:rsid w:val="3A955539"/>
    <w:rsid w:val="3AA61AED"/>
    <w:rsid w:val="3B711C14"/>
    <w:rsid w:val="3C0E5F7E"/>
    <w:rsid w:val="3D8E364F"/>
    <w:rsid w:val="3E2C5777"/>
    <w:rsid w:val="3F375A43"/>
    <w:rsid w:val="3FFB4D02"/>
    <w:rsid w:val="40822BEC"/>
    <w:rsid w:val="41186E98"/>
    <w:rsid w:val="41A171BC"/>
    <w:rsid w:val="42E63A08"/>
    <w:rsid w:val="43E333BD"/>
    <w:rsid w:val="44444106"/>
    <w:rsid w:val="44827761"/>
    <w:rsid w:val="448703E1"/>
    <w:rsid w:val="450A3594"/>
    <w:rsid w:val="45984C34"/>
    <w:rsid w:val="45A058D7"/>
    <w:rsid w:val="45F22CE6"/>
    <w:rsid w:val="48E75A3B"/>
    <w:rsid w:val="491D7D11"/>
    <w:rsid w:val="49437873"/>
    <w:rsid w:val="49560F73"/>
    <w:rsid w:val="496B4AF1"/>
    <w:rsid w:val="49DE597C"/>
    <w:rsid w:val="49FA053F"/>
    <w:rsid w:val="4A071DE4"/>
    <w:rsid w:val="4A786274"/>
    <w:rsid w:val="4AEF1B4D"/>
    <w:rsid w:val="4CC82987"/>
    <w:rsid w:val="4CCE56E1"/>
    <w:rsid w:val="4D4E035A"/>
    <w:rsid w:val="4D9D2B72"/>
    <w:rsid w:val="4DA92202"/>
    <w:rsid w:val="4E7A1D48"/>
    <w:rsid w:val="4FDC69A3"/>
    <w:rsid w:val="4FF17CF7"/>
    <w:rsid w:val="50004F48"/>
    <w:rsid w:val="50DD6686"/>
    <w:rsid w:val="519073DA"/>
    <w:rsid w:val="52334ED2"/>
    <w:rsid w:val="535F17E1"/>
    <w:rsid w:val="537946CE"/>
    <w:rsid w:val="53831530"/>
    <w:rsid w:val="53982087"/>
    <w:rsid w:val="53B8180E"/>
    <w:rsid w:val="541220F9"/>
    <w:rsid w:val="543406C2"/>
    <w:rsid w:val="548E2382"/>
    <w:rsid w:val="55155199"/>
    <w:rsid w:val="554F39C4"/>
    <w:rsid w:val="55D23E45"/>
    <w:rsid w:val="55EA33B8"/>
    <w:rsid w:val="56662EDD"/>
    <w:rsid w:val="569111EC"/>
    <w:rsid w:val="57546181"/>
    <w:rsid w:val="583A090D"/>
    <w:rsid w:val="584C21DF"/>
    <w:rsid w:val="5889515A"/>
    <w:rsid w:val="58FE78A6"/>
    <w:rsid w:val="59197147"/>
    <w:rsid w:val="59731518"/>
    <w:rsid w:val="59827CE1"/>
    <w:rsid w:val="59FF22BB"/>
    <w:rsid w:val="5A380B96"/>
    <w:rsid w:val="5A9E1EF2"/>
    <w:rsid w:val="5BDB7A2A"/>
    <w:rsid w:val="5C5F6C83"/>
    <w:rsid w:val="5D610443"/>
    <w:rsid w:val="5DC136DE"/>
    <w:rsid w:val="5DF645AD"/>
    <w:rsid w:val="5E5D6F10"/>
    <w:rsid w:val="5E6B6879"/>
    <w:rsid w:val="5EF56B9B"/>
    <w:rsid w:val="603D6F06"/>
    <w:rsid w:val="60BC2C8D"/>
    <w:rsid w:val="61C63D38"/>
    <w:rsid w:val="61E526E0"/>
    <w:rsid w:val="621A5983"/>
    <w:rsid w:val="62624419"/>
    <w:rsid w:val="626A5FAC"/>
    <w:rsid w:val="64FA5DF7"/>
    <w:rsid w:val="66EA434D"/>
    <w:rsid w:val="672C7CD4"/>
    <w:rsid w:val="676610B4"/>
    <w:rsid w:val="67C454DC"/>
    <w:rsid w:val="69ED19A2"/>
    <w:rsid w:val="69F67208"/>
    <w:rsid w:val="6A535578"/>
    <w:rsid w:val="6A8205D7"/>
    <w:rsid w:val="6C77554D"/>
    <w:rsid w:val="6CFA7F2C"/>
    <w:rsid w:val="6D6E4EC5"/>
    <w:rsid w:val="6DE6210B"/>
    <w:rsid w:val="6E1C7B48"/>
    <w:rsid w:val="6E304092"/>
    <w:rsid w:val="6F5B6615"/>
    <w:rsid w:val="70B92DE2"/>
    <w:rsid w:val="70C179F1"/>
    <w:rsid w:val="71720D9F"/>
    <w:rsid w:val="71EF1019"/>
    <w:rsid w:val="725B0CD3"/>
    <w:rsid w:val="72B10258"/>
    <w:rsid w:val="737B3F17"/>
    <w:rsid w:val="73A228B1"/>
    <w:rsid w:val="73A872F4"/>
    <w:rsid w:val="73E24BB8"/>
    <w:rsid w:val="73E93F75"/>
    <w:rsid w:val="74B74035"/>
    <w:rsid w:val="74CE6F2B"/>
    <w:rsid w:val="751B0FBC"/>
    <w:rsid w:val="75541741"/>
    <w:rsid w:val="759F5B15"/>
    <w:rsid w:val="76D60F18"/>
    <w:rsid w:val="76F4052A"/>
    <w:rsid w:val="78AD1A91"/>
    <w:rsid w:val="79982C4E"/>
    <w:rsid w:val="79D43BE1"/>
    <w:rsid w:val="79EB5399"/>
    <w:rsid w:val="7B3553A4"/>
    <w:rsid w:val="7B5F4648"/>
    <w:rsid w:val="7B622852"/>
    <w:rsid w:val="7BCA24F9"/>
    <w:rsid w:val="7C694FA8"/>
    <w:rsid w:val="7C8D66DE"/>
    <w:rsid w:val="7E030E6D"/>
    <w:rsid w:val="7F2562F4"/>
    <w:rsid w:val="7F3B065C"/>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5"/>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3"/>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6"/>
    <w:qFormat/>
    <w:uiPriority w:val="0"/>
    <w:pPr>
      <w:keepNext/>
      <w:keepLines/>
      <w:spacing w:before="260" w:after="260" w:line="416" w:lineRule="auto"/>
      <w:outlineLvl w:val="2"/>
    </w:pPr>
    <w:rPr>
      <w:b/>
      <w:bCs/>
      <w:sz w:val="32"/>
      <w:szCs w:val="32"/>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8"/>
    <w:qFormat/>
    <w:uiPriority w:val="0"/>
    <w:pPr>
      <w:jc w:val="left"/>
    </w:pPr>
  </w:style>
  <w:style w:type="paragraph" w:styleId="6">
    <w:name w:val="Body Text"/>
    <w:basedOn w:val="1"/>
    <w:link w:val="51"/>
    <w:qFormat/>
    <w:uiPriority w:val="0"/>
    <w:rPr>
      <w:b/>
      <w:bCs/>
      <w:sz w:val="28"/>
    </w:rPr>
  </w:style>
  <w:style w:type="paragraph" w:styleId="7">
    <w:name w:val="Body Text Indent"/>
    <w:basedOn w:val="1"/>
    <w:link w:val="52"/>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5"/>
    <w:qFormat/>
    <w:uiPriority w:val="0"/>
    <w:rPr>
      <w:rFonts w:ascii="宋体" w:hAnsi="Courier New"/>
      <w:szCs w:val="20"/>
    </w:rPr>
  </w:style>
  <w:style w:type="paragraph" w:styleId="10">
    <w:name w:val="Date"/>
    <w:basedOn w:val="1"/>
    <w:next w:val="1"/>
    <w:link w:val="53"/>
    <w:unhideWhenUsed/>
    <w:qFormat/>
    <w:uiPriority w:val="0"/>
    <w:pPr>
      <w:ind w:left="100" w:leftChars="2500"/>
    </w:pPr>
    <w:rPr>
      <w:rFonts w:ascii="Arial Narrow" w:hAnsi="Arial Narrow"/>
      <w:b/>
      <w:color w:val="0000FF"/>
      <w:sz w:val="24"/>
      <w:szCs w:val="20"/>
    </w:rPr>
  </w:style>
  <w:style w:type="paragraph" w:styleId="11">
    <w:name w:val="Body Text Indent 2"/>
    <w:basedOn w:val="1"/>
    <w:link w:val="54"/>
    <w:qFormat/>
    <w:uiPriority w:val="0"/>
    <w:pPr>
      <w:ind w:left="570"/>
    </w:pPr>
    <w:rPr>
      <w:sz w:val="28"/>
      <w:szCs w:val="20"/>
    </w:rPr>
  </w:style>
  <w:style w:type="paragraph" w:styleId="12">
    <w:name w:val="Balloon Text"/>
    <w:basedOn w:val="1"/>
    <w:link w:val="56"/>
    <w:semiHidden/>
    <w:qFormat/>
    <w:uiPriority w:val="0"/>
    <w:rPr>
      <w:sz w:val="18"/>
      <w:szCs w:val="18"/>
    </w:rPr>
  </w:style>
  <w:style w:type="paragraph" w:styleId="13">
    <w:name w:val="footer"/>
    <w:basedOn w:val="1"/>
    <w:link w:val="50"/>
    <w:qFormat/>
    <w:uiPriority w:val="0"/>
    <w:pPr>
      <w:tabs>
        <w:tab w:val="center" w:pos="4153"/>
        <w:tab w:val="right" w:pos="8306"/>
      </w:tabs>
      <w:snapToGrid w:val="0"/>
      <w:jc w:val="left"/>
    </w:pPr>
    <w:rPr>
      <w:sz w:val="18"/>
      <w:szCs w:val="18"/>
    </w:rPr>
  </w:style>
  <w:style w:type="paragraph" w:styleId="14">
    <w:name w:val="header"/>
    <w:basedOn w:val="1"/>
    <w:link w:val="49"/>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Normal (Web)"/>
    <w:basedOn w:val="1"/>
    <w:unhideWhenUsed/>
    <w:qFormat/>
    <w:uiPriority w:val="0"/>
    <w:rPr>
      <w:sz w:val="24"/>
    </w:rPr>
  </w:style>
  <w:style w:type="paragraph" w:styleId="18">
    <w:name w:val="index 1"/>
    <w:basedOn w:val="1"/>
    <w:next w:val="1"/>
    <w:semiHidden/>
    <w:qFormat/>
    <w:uiPriority w:val="0"/>
    <w:rPr>
      <w:szCs w:val="20"/>
    </w:rPr>
  </w:style>
  <w:style w:type="paragraph" w:styleId="19">
    <w:name w:val="annotation subject"/>
    <w:basedOn w:val="5"/>
    <w:next w:val="5"/>
    <w:link w:val="104"/>
    <w:semiHidden/>
    <w:unhideWhenUsed/>
    <w:qFormat/>
    <w:uiPriority w:val="0"/>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0"/>
    <w:rPr>
      <w:b/>
    </w:rPr>
  </w:style>
  <w:style w:type="character" w:styleId="24">
    <w:name w:val="page number"/>
    <w:basedOn w:val="22"/>
    <w:qFormat/>
    <w:uiPriority w:val="0"/>
  </w:style>
  <w:style w:type="character" w:styleId="25">
    <w:name w:val="FollowedHyperlink"/>
    <w:basedOn w:val="22"/>
    <w:unhideWhenUsed/>
    <w:qFormat/>
    <w:uiPriority w:val="99"/>
    <w:rPr>
      <w:color w:val="800080" w:themeColor="followedHyperlink"/>
      <w:u w:val="single"/>
    </w:rPr>
  </w:style>
  <w:style w:type="character" w:styleId="26">
    <w:name w:val="Emphasis"/>
    <w:basedOn w:val="22"/>
    <w:qFormat/>
    <w:uiPriority w:val="0"/>
    <w:rPr>
      <w:i/>
    </w:rPr>
  </w:style>
  <w:style w:type="character" w:styleId="27">
    <w:name w:val="Hyperlink"/>
    <w:basedOn w:val="22"/>
    <w:qFormat/>
    <w:uiPriority w:val="0"/>
    <w:rPr>
      <w:color w:val="0000FF" w:themeColor="hyperlink"/>
      <w:u w:val="single"/>
    </w:rPr>
  </w:style>
  <w:style w:type="character" w:styleId="28">
    <w:name w:val="annotation reference"/>
    <w:basedOn w:val="22"/>
    <w:unhideWhenUsed/>
    <w:qFormat/>
    <w:uiPriority w:val="0"/>
    <w:rPr>
      <w:sz w:val="21"/>
    </w:rPr>
  </w:style>
  <w:style w:type="paragraph" w:customStyle="1" w:styleId="29">
    <w:name w:val="默认段落字体 Para Char"/>
    <w:basedOn w:val="1"/>
    <w:qFormat/>
    <w:uiPriority w:val="0"/>
    <w:pPr>
      <w:tabs>
        <w:tab w:val="left" w:pos="900"/>
      </w:tabs>
      <w:ind w:left="900" w:hanging="420"/>
    </w:pPr>
    <w:rPr>
      <w:sz w:val="28"/>
      <w:szCs w:val="20"/>
    </w:rPr>
  </w:style>
  <w:style w:type="character" w:customStyle="1" w:styleId="30">
    <w:name w:val="方案正文 Char"/>
    <w:basedOn w:val="22"/>
    <w:link w:val="31"/>
    <w:qFormat/>
    <w:uiPriority w:val="0"/>
    <w:rPr>
      <w:rFonts w:ascii="宋体" w:hAnsi="宋体" w:eastAsia="宋体"/>
      <w:kern w:val="2"/>
      <w:sz w:val="24"/>
      <w:lang w:val="en-US" w:eastAsia="zh-CN" w:bidi="ar-SA"/>
    </w:rPr>
  </w:style>
  <w:style w:type="paragraph" w:customStyle="1" w:styleId="31">
    <w:name w:val="方案正文"/>
    <w:link w:val="30"/>
    <w:qFormat/>
    <w:uiPriority w:val="0"/>
    <w:pPr>
      <w:spacing w:line="360" w:lineRule="auto"/>
      <w:jc w:val="both"/>
    </w:pPr>
    <w:rPr>
      <w:rFonts w:ascii="宋体" w:hAnsi="宋体" w:eastAsia="宋体" w:cs="Times New Roman"/>
      <w:kern w:val="2"/>
      <w:sz w:val="24"/>
      <w:lang w:val="en-US" w:eastAsia="zh-CN" w:bidi="ar-SA"/>
    </w:rPr>
  </w:style>
  <w:style w:type="paragraph" w:customStyle="1" w:styleId="32">
    <w:name w:val="Char Char Char Char"/>
    <w:basedOn w:val="1"/>
    <w:qFormat/>
    <w:uiPriority w:val="0"/>
    <w:rPr>
      <w:rFonts w:ascii="仿宋_GB2312" w:eastAsia="仿宋_GB2312"/>
      <w:b/>
      <w:sz w:val="32"/>
      <w:szCs w:val="32"/>
    </w:rPr>
  </w:style>
  <w:style w:type="paragraph" w:customStyle="1" w:styleId="33">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4">
    <w:name w:val="居中"/>
    <w:basedOn w:val="1"/>
    <w:qFormat/>
    <w:uiPriority w:val="0"/>
    <w:pPr>
      <w:spacing w:line="440" w:lineRule="exact"/>
      <w:jc w:val="center"/>
    </w:pPr>
    <w:rPr>
      <w:rFonts w:eastAsia="仿宋_GB2312" w:cs="宋体"/>
      <w:spacing w:val="6"/>
      <w:kern w:val="0"/>
      <w:szCs w:val="20"/>
    </w:rPr>
  </w:style>
  <w:style w:type="paragraph" w:customStyle="1" w:styleId="35">
    <w:name w:val="第三级"/>
    <w:basedOn w:val="4"/>
    <w:next w:val="1"/>
    <w:link w:val="36"/>
    <w:qFormat/>
    <w:uiPriority w:val="0"/>
    <w:pPr>
      <w:spacing w:before="0" w:after="0" w:line="440" w:lineRule="exact"/>
      <w:jc w:val="left"/>
    </w:pPr>
    <w:rPr>
      <w:rFonts w:eastAsia="仿宋_GB2312" w:cs="宋体"/>
      <w:b w:val="0"/>
      <w:bCs w:val="0"/>
      <w:spacing w:val="6"/>
      <w:kern w:val="0"/>
      <w:sz w:val="28"/>
      <w:szCs w:val="20"/>
    </w:rPr>
  </w:style>
  <w:style w:type="character" w:customStyle="1" w:styleId="36">
    <w:name w:val="第三级 Char"/>
    <w:basedOn w:val="22"/>
    <w:link w:val="35"/>
    <w:qFormat/>
    <w:uiPriority w:val="0"/>
    <w:rPr>
      <w:rFonts w:eastAsia="仿宋_GB2312" w:cs="宋体"/>
      <w:spacing w:val="6"/>
      <w:sz w:val="28"/>
      <w:lang w:val="en-US" w:eastAsia="zh-CN" w:bidi="ar-SA"/>
    </w:rPr>
  </w:style>
  <w:style w:type="character" w:customStyle="1" w:styleId="37">
    <w:name w:val="vnews1"/>
    <w:basedOn w:val="22"/>
    <w:qFormat/>
    <w:uiPriority w:val="0"/>
    <w:rPr>
      <w:sz w:val="28"/>
      <w:szCs w:val="28"/>
    </w:rPr>
  </w:style>
  <w:style w:type="paragraph" w:customStyle="1" w:styleId="38">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9">
    <w:name w:val="样式 正文文本 Char"/>
    <w:basedOn w:val="22"/>
    <w:link w:val="40"/>
    <w:qFormat/>
    <w:uiPriority w:val="0"/>
    <w:rPr>
      <w:rFonts w:ascii="Arial" w:hAnsi="Arial" w:eastAsia="宋体"/>
      <w:color w:val="000000"/>
      <w:kern w:val="2"/>
      <w:sz w:val="21"/>
      <w:lang w:val="en-US" w:eastAsia="zh-CN" w:bidi="ar-SA"/>
    </w:rPr>
  </w:style>
  <w:style w:type="paragraph" w:customStyle="1" w:styleId="40">
    <w:name w:val="样式 正文文本"/>
    <w:basedOn w:val="1"/>
    <w:link w:val="39"/>
    <w:qFormat/>
    <w:uiPriority w:val="0"/>
    <w:pPr>
      <w:adjustRightInd w:val="0"/>
      <w:snapToGrid w:val="0"/>
      <w:spacing w:line="400" w:lineRule="exact"/>
      <w:ind w:firstLine="200" w:firstLineChars="200"/>
    </w:pPr>
    <w:rPr>
      <w:rFonts w:ascii="Arial" w:hAnsi="Arial"/>
      <w:color w:val="000000"/>
      <w:szCs w:val="20"/>
    </w:rPr>
  </w:style>
  <w:style w:type="paragraph" w:customStyle="1" w:styleId="41">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42">
    <w:name w:val="1.1.1 (文字)"/>
    <w:basedOn w:val="1"/>
    <w:qFormat/>
    <w:uiPriority w:val="0"/>
    <w:pPr>
      <w:spacing w:beforeLines="50" w:afterLines="50" w:line="360" w:lineRule="auto"/>
      <w:ind w:firstLine="200" w:firstLineChars="200"/>
      <w:jc w:val="left"/>
      <w:outlineLvl w:val="3"/>
    </w:pPr>
    <w:rPr>
      <w:sz w:val="24"/>
    </w:rPr>
  </w:style>
  <w:style w:type="character" w:customStyle="1" w:styleId="43">
    <w:name w:val="标题 2 Char"/>
    <w:basedOn w:val="22"/>
    <w:link w:val="3"/>
    <w:semiHidden/>
    <w:qFormat/>
    <w:uiPriority w:val="0"/>
    <w:rPr>
      <w:rFonts w:asciiTheme="majorHAnsi" w:hAnsiTheme="majorHAnsi" w:eastAsiaTheme="majorEastAsia" w:cstheme="majorBidi"/>
      <w:b/>
      <w:bCs/>
      <w:kern w:val="2"/>
      <w:sz w:val="32"/>
      <w:szCs w:val="32"/>
    </w:rPr>
  </w:style>
  <w:style w:type="paragraph" w:styleId="44">
    <w:name w:val="List Paragraph"/>
    <w:basedOn w:val="1"/>
    <w:qFormat/>
    <w:uiPriority w:val="34"/>
    <w:pPr>
      <w:ind w:firstLine="420" w:firstLineChars="200"/>
    </w:pPr>
  </w:style>
  <w:style w:type="character" w:customStyle="1" w:styleId="45">
    <w:name w:val="标题 1 Char"/>
    <w:basedOn w:val="22"/>
    <w:link w:val="2"/>
    <w:qFormat/>
    <w:uiPriority w:val="0"/>
    <w:rPr>
      <w:b/>
      <w:color w:val="003366"/>
      <w:kern w:val="2"/>
      <w:sz w:val="14"/>
    </w:rPr>
  </w:style>
  <w:style w:type="character" w:customStyle="1" w:styleId="46">
    <w:name w:val="标题 3 Char"/>
    <w:basedOn w:val="22"/>
    <w:link w:val="4"/>
    <w:qFormat/>
    <w:uiPriority w:val="0"/>
    <w:rPr>
      <w:b/>
      <w:bCs/>
      <w:kern w:val="2"/>
      <w:sz w:val="32"/>
      <w:szCs w:val="32"/>
    </w:rPr>
  </w:style>
  <w:style w:type="paragraph" w:customStyle="1" w:styleId="47">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8">
    <w:name w:val="批注文字 Char"/>
    <w:basedOn w:val="22"/>
    <w:link w:val="5"/>
    <w:qFormat/>
    <w:uiPriority w:val="0"/>
    <w:rPr>
      <w:kern w:val="2"/>
      <w:sz w:val="21"/>
      <w:szCs w:val="24"/>
    </w:rPr>
  </w:style>
  <w:style w:type="character" w:customStyle="1" w:styleId="49">
    <w:name w:val="页眉 Char"/>
    <w:basedOn w:val="22"/>
    <w:link w:val="14"/>
    <w:qFormat/>
    <w:uiPriority w:val="0"/>
    <w:rPr>
      <w:kern w:val="2"/>
      <w:sz w:val="18"/>
      <w:szCs w:val="18"/>
    </w:rPr>
  </w:style>
  <w:style w:type="character" w:customStyle="1" w:styleId="50">
    <w:name w:val="页脚 Char"/>
    <w:basedOn w:val="22"/>
    <w:link w:val="13"/>
    <w:qFormat/>
    <w:uiPriority w:val="0"/>
    <w:rPr>
      <w:kern w:val="2"/>
      <w:sz w:val="18"/>
      <w:szCs w:val="18"/>
    </w:rPr>
  </w:style>
  <w:style w:type="character" w:customStyle="1" w:styleId="51">
    <w:name w:val="正文文本 Char"/>
    <w:basedOn w:val="22"/>
    <w:link w:val="6"/>
    <w:qFormat/>
    <w:uiPriority w:val="0"/>
    <w:rPr>
      <w:b/>
      <w:bCs/>
      <w:kern w:val="2"/>
      <w:sz w:val="28"/>
      <w:szCs w:val="24"/>
    </w:rPr>
  </w:style>
  <w:style w:type="character" w:customStyle="1" w:styleId="52">
    <w:name w:val="正文文本缩进 Char"/>
    <w:basedOn w:val="22"/>
    <w:link w:val="7"/>
    <w:qFormat/>
    <w:uiPriority w:val="0"/>
    <w:rPr>
      <w:kern w:val="2"/>
      <w:sz w:val="28"/>
    </w:rPr>
  </w:style>
  <w:style w:type="character" w:customStyle="1" w:styleId="53">
    <w:name w:val="日期 Char"/>
    <w:basedOn w:val="22"/>
    <w:link w:val="10"/>
    <w:qFormat/>
    <w:uiPriority w:val="0"/>
    <w:rPr>
      <w:rFonts w:ascii="Arial Narrow" w:hAnsi="Arial Narrow"/>
      <w:b/>
      <w:color w:val="0000FF"/>
      <w:kern w:val="2"/>
      <w:sz w:val="24"/>
    </w:rPr>
  </w:style>
  <w:style w:type="character" w:customStyle="1" w:styleId="54">
    <w:name w:val="正文文本缩进 2 Char"/>
    <w:basedOn w:val="22"/>
    <w:link w:val="11"/>
    <w:qFormat/>
    <w:uiPriority w:val="0"/>
    <w:rPr>
      <w:kern w:val="2"/>
      <w:sz w:val="28"/>
    </w:rPr>
  </w:style>
  <w:style w:type="character" w:customStyle="1" w:styleId="55">
    <w:name w:val="纯文本 Char"/>
    <w:basedOn w:val="22"/>
    <w:link w:val="9"/>
    <w:qFormat/>
    <w:uiPriority w:val="0"/>
    <w:rPr>
      <w:rFonts w:ascii="宋体" w:hAnsi="Courier New"/>
      <w:kern w:val="2"/>
      <w:sz w:val="21"/>
    </w:rPr>
  </w:style>
  <w:style w:type="character" w:customStyle="1" w:styleId="56">
    <w:name w:val="批注框文本 Char"/>
    <w:basedOn w:val="22"/>
    <w:link w:val="12"/>
    <w:semiHidden/>
    <w:qFormat/>
    <w:uiPriority w:val="0"/>
    <w:rPr>
      <w:kern w:val="2"/>
      <w:sz w:val="18"/>
      <w:szCs w:val="18"/>
    </w:rPr>
  </w:style>
  <w:style w:type="paragraph" w:customStyle="1" w:styleId="57">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8">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9">
    <w:name w:val="font8"/>
    <w:basedOn w:val="1"/>
    <w:qFormat/>
    <w:uiPriority w:val="0"/>
    <w:pPr>
      <w:widowControl/>
      <w:spacing w:before="100" w:beforeAutospacing="1" w:after="100" w:afterAutospacing="1"/>
      <w:jc w:val="left"/>
    </w:pPr>
    <w:rPr>
      <w:kern w:val="0"/>
      <w:sz w:val="24"/>
      <w:szCs w:val="20"/>
    </w:rPr>
  </w:style>
  <w:style w:type="paragraph" w:customStyle="1" w:styleId="60">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1">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2">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4">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5">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6">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7">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8">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0">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71">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3">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4">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5">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6">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7">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8">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9">
    <w:name w:val="font9"/>
    <w:basedOn w:val="1"/>
    <w:qFormat/>
    <w:uiPriority w:val="0"/>
    <w:pPr>
      <w:widowControl/>
      <w:spacing w:before="100" w:beforeAutospacing="1" w:after="100" w:afterAutospacing="1"/>
      <w:jc w:val="left"/>
    </w:pPr>
    <w:rPr>
      <w:kern w:val="0"/>
      <w:sz w:val="20"/>
      <w:szCs w:val="20"/>
    </w:rPr>
  </w:style>
  <w:style w:type="paragraph" w:customStyle="1" w:styleId="80">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82">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3">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4">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5">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6">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7">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8">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9">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90">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9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92">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4">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5">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6">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7">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8">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9">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100">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101">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102">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3">
    <w:name w:val="样式 普通文字 + Times New Roman 加粗 首行缩进:  0.73 厘米 行距: 多倍行距 1.15 字行"/>
    <w:basedOn w:val="99"/>
    <w:next w:val="99"/>
    <w:qFormat/>
    <w:uiPriority w:val="0"/>
    <w:pPr>
      <w:tabs>
        <w:tab w:val="left" w:pos="5580"/>
      </w:tabs>
      <w:spacing w:line="400" w:lineRule="exact"/>
      <w:ind w:firstLine="480"/>
    </w:pPr>
    <w:rPr>
      <w:bCs/>
      <w:sz w:val="24"/>
      <w:szCs w:val="24"/>
    </w:rPr>
  </w:style>
  <w:style w:type="character" w:customStyle="1" w:styleId="104">
    <w:name w:val="批注主题 Char"/>
    <w:basedOn w:val="48"/>
    <w:link w:val="19"/>
    <w:semiHidden/>
    <w:qFormat/>
    <w:uiPriority w:val="0"/>
    <w:rPr>
      <w:b/>
      <w:bCs/>
      <w:kern w:val="2"/>
      <w:sz w:val="21"/>
      <w:szCs w:val="24"/>
    </w:rPr>
  </w:style>
  <w:style w:type="paragraph" w:customStyle="1" w:styleId="105">
    <w:name w:val="Char Char1"/>
    <w:basedOn w:val="1"/>
    <w:qFormat/>
    <w:uiPriority w:val="0"/>
    <w:pPr>
      <w:spacing w:beforeLines="50" w:afterLines="50"/>
    </w:pPr>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1DB0FE-BB3A-4D82-BFAA-8B7D3DEB142B}">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Pages>
  <Words>1136</Words>
  <Characters>6476</Characters>
  <Lines>53</Lines>
  <Paragraphs>15</Paragraphs>
  <TotalTime>10</TotalTime>
  <ScaleCrop>false</ScaleCrop>
  <LinksUpToDate>false</LinksUpToDate>
  <CharactersWithSpaces>7597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角落、</cp:lastModifiedBy>
  <cp:lastPrinted>2019-06-25T01:13:00Z</cp:lastPrinted>
  <dcterms:modified xsi:type="dcterms:W3CDTF">2023-11-08T08:11:21Z</dcterms:modified>
  <dc:title>慈溪市科博文化中心项目</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B6443F1B70574045A37465CB6F0A3380_13</vt:lpwstr>
  </property>
</Properties>
</file>