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eastAsiaTheme="minorEastAsia"/>
          <w:sz w:val="48"/>
          <w:szCs w:val="48"/>
          <w:lang w:eastAsia="zh-CN"/>
        </w:rPr>
      </w:pPr>
      <w:r>
        <w:rPr>
          <w:rFonts w:hint="eastAsia"/>
          <w:sz w:val="48"/>
          <w:szCs w:val="48"/>
        </w:rPr>
        <w:t>询价</w:t>
      </w:r>
      <w:r>
        <w:rPr>
          <w:rFonts w:hint="eastAsia"/>
          <w:sz w:val="48"/>
          <w:szCs w:val="48"/>
          <w:lang w:eastAsia="zh-CN"/>
        </w:rPr>
        <w:t>文件</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lang w:eastAsia="zh-CN"/>
        </w:rPr>
        <w:t>现对于</w:t>
      </w:r>
      <w:r>
        <w:rPr>
          <w:rFonts w:hint="eastAsia" w:ascii="仿宋" w:hAnsi="仿宋" w:eastAsia="仿宋" w:cs="楷体_GB2312"/>
          <w:color w:val="000000"/>
          <w:sz w:val="28"/>
          <w:szCs w:val="28"/>
        </w:rPr>
        <w:t>我公司施工的潘集煤化工产业园经四路项目及纬四路、经八路连接段项目生石灰材料</w:t>
      </w:r>
      <w:r>
        <w:rPr>
          <w:rFonts w:hint="eastAsia" w:ascii="仿宋" w:hAnsi="仿宋" w:eastAsia="仿宋" w:cs="楷体_GB2312"/>
          <w:color w:val="000000"/>
          <w:sz w:val="28"/>
          <w:szCs w:val="28"/>
          <w:lang w:eastAsia="zh-CN"/>
        </w:rPr>
        <w:t>采购进行询价</w:t>
      </w:r>
      <w:r>
        <w:rPr>
          <w:rFonts w:hint="eastAsia" w:ascii="仿宋" w:hAnsi="仿宋" w:eastAsia="仿宋" w:cs="楷体_GB2312"/>
          <w:color w:val="000000"/>
          <w:sz w:val="28"/>
          <w:szCs w:val="28"/>
        </w:rPr>
        <w:t>，欢迎达到相应要求，具有较强实力的供应商前来洽谈</w:t>
      </w:r>
      <w:r>
        <w:rPr>
          <w:rFonts w:hint="eastAsia" w:ascii="仿宋" w:hAnsi="仿宋" w:eastAsia="仿宋" w:cs="楷体_GB2312"/>
          <w:color w:val="000000"/>
          <w:sz w:val="28"/>
          <w:szCs w:val="28"/>
          <w:lang w:eastAsia="zh-CN"/>
        </w:rPr>
        <w:t>、报价</w:t>
      </w:r>
      <w:r>
        <w:rPr>
          <w:rFonts w:hint="eastAsia" w:ascii="仿宋" w:hAnsi="仿宋" w:eastAsia="仿宋" w:cs="楷体_GB2312"/>
          <w:color w:val="000000"/>
          <w:sz w:val="28"/>
          <w:szCs w:val="28"/>
        </w:rPr>
        <w:t>，具体事项如下：</w:t>
      </w:r>
    </w:p>
    <w:p>
      <w:pPr>
        <w:rPr>
          <w:rFonts w:ascii="仿宋" w:hAnsi="仿宋" w:eastAsia="仿宋" w:cs="楷体_GB2312"/>
          <w:color w:val="000000"/>
          <w:sz w:val="28"/>
          <w:szCs w:val="28"/>
        </w:rPr>
      </w:pPr>
      <w:r>
        <w:rPr>
          <w:rFonts w:hint="eastAsia" w:ascii="仿宋" w:hAnsi="仿宋" w:eastAsia="仿宋" w:cs="楷体_GB2312"/>
          <w:b/>
          <w:color w:val="000000"/>
          <w:sz w:val="28"/>
          <w:szCs w:val="28"/>
        </w:rPr>
        <w:t>一、项目名称：</w:t>
      </w:r>
      <w:r>
        <w:rPr>
          <w:rFonts w:hint="eastAsia" w:ascii="仿宋" w:hAnsi="仿宋" w:eastAsia="仿宋" w:cs="楷体_GB2312"/>
          <w:color w:val="000000"/>
          <w:sz w:val="28"/>
          <w:szCs w:val="28"/>
        </w:rPr>
        <w:t>潘集煤化工产业园经四路项目及纬四路、经八路连接项目生石灰采购项目</w:t>
      </w:r>
    </w:p>
    <w:p>
      <w:pPr>
        <w:rPr>
          <w:rFonts w:ascii="仿宋" w:hAnsi="仿宋" w:eastAsia="仿宋" w:cs="楷体_GB2312"/>
          <w:b/>
          <w:color w:val="000000"/>
          <w:sz w:val="28"/>
          <w:szCs w:val="28"/>
        </w:rPr>
      </w:pPr>
      <w:r>
        <w:rPr>
          <w:rFonts w:hint="eastAsia" w:ascii="仿宋" w:hAnsi="仿宋" w:eastAsia="仿宋" w:cs="楷体_GB2312"/>
          <w:b/>
          <w:color w:val="000000"/>
          <w:sz w:val="28"/>
          <w:szCs w:val="28"/>
        </w:rPr>
        <w:t>二、需求产品：</w:t>
      </w:r>
    </w:p>
    <w:tbl>
      <w:tblPr>
        <w:tblStyle w:val="7"/>
        <w:tblW w:w="10082" w:type="dxa"/>
        <w:tblInd w:w="-601" w:type="dxa"/>
        <w:tblLayout w:type="fixed"/>
        <w:tblCellMar>
          <w:top w:w="0" w:type="dxa"/>
          <w:left w:w="108" w:type="dxa"/>
          <w:bottom w:w="0" w:type="dxa"/>
          <w:right w:w="108" w:type="dxa"/>
        </w:tblCellMar>
      </w:tblPr>
      <w:tblGrid>
        <w:gridCol w:w="456"/>
        <w:gridCol w:w="2411"/>
        <w:gridCol w:w="1701"/>
        <w:gridCol w:w="708"/>
        <w:gridCol w:w="993"/>
        <w:gridCol w:w="1134"/>
        <w:gridCol w:w="1134"/>
        <w:gridCol w:w="1545"/>
      </w:tblGrid>
      <w:tr>
        <w:tblPrEx>
          <w:tblLayout w:type="fixed"/>
          <w:tblCellMar>
            <w:top w:w="0" w:type="dxa"/>
            <w:left w:w="108" w:type="dxa"/>
            <w:bottom w:w="0" w:type="dxa"/>
            <w:right w:w="108" w:type="dxa"/>
          </w:tblCellMar>
        </w:tblPrEx>
        <w:trPr>
          <w:trHeight w:val="402" w:hRule="atLeast"/>
        </w:trPr>
        <w:tc>
          <w:tcPr>
            <w:tcW w:w="45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2411"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材料名称</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708"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单价（元）</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总 价（元）</w:t>
            </w:r>
          </w:p>
        </w:tc>
        <w:tc>
          <w:tcPr>
            <w:tcW w:w="1545"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备注</w:t>
            </w:r>
          </w:p>
        </w:tc>
      </w:tr>
      <w:tr>
        <w:tblPrEx>
          <w:tblLayout w:type="fixed"/>
          <w:tblCellMar>
            <w:top w:w="0" w:type="dxa"/>
            <w:left w:w="108" w:type="dxa"/>
            <w:bottom w:w="0" w:type="dxa"/>
            <w:right w:w="108" w:type="dxa"/>
          </w:tblCellMar>
        </w:tblPrEx>
        <w:trPr>
          <w:trHeight w:val="402" w:hRule="atLeast"/>
        </w:trPr>
        <w:tc>
          <w:tcPr>
            <w:tcW w:w="456" w:type="dxa"/>
            <w:tcBorders>
              <w:top w:val="nil"/>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1</w:t>
            </w:r>
          </w:p>
        </w:tc>
        <w:tc>
          <w:tcPr>
            <w:tcW w:w="2411"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生石灰</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生石灰块,等级II级</w:t>
            </w:r>
          </w:p>
        </w:tc>
        <w:tc>
          <w:tcPr>
            <w:tcW w:w="708"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t</w:t>
            </w:r>
          </w:p>
        </w:tc>
        <w:tc>
          <w:tcPr>
            <w:tcW w:w="993"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5000</w:t>
            </w:r>
          </w:p>
        </w:tc>
        <w:tc>
          <w:tcPr>
            <w:tcW w:w="1134"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p>
        </w:tc>
        <w:tc>
          <w:tcPr>
            <w:tcW w:w="1134"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p>
        </w:tc>
        <w:tc>
          <w:tcPr>
            <w:tcW w:w="1545" w:type="dxa"/>
            <w:tcBorders>
              <w:top w:val="nil"/>
              <w:left w:val="nil"/>
              <w:right w:val="single" w:color="auto" w:sz="4" w:space="0"/>
            </w:tcBorders>
            <w:shd w:val="clear" w:color="auto" w:fill="auto"/>
            <w:vAlign w:val="center"/>
          </w:tcPr>
          <w:p>
            <w:pPr>
              <w:widowControl/>
              <w:spacing w:line="400" w:lineRule="exact"/>
              <w:jc w:val="left"/>
              <w:rPr>
                <w:rFonts w:ascii="仿宋" w:hAnsi="仿宋" w:eastAsia="仿宋" w:cs="楷体_GB2312"/>
                <w:color w:val="000000"/>
                <w:sz w:val="24"/>
                <w:szCs w:val="24"/>
              </w:rPr>
            </w:pPr>
          </w:p>
          <w:p>
            <w:pPr>
              <w:widowControl/>
              <w:spacing w:line="400" w:lineRule="exact"/>
              <w:jc w:val="left"/>
              <w:rPr>
                <w:rFonts w:hint="eastAsia" w:ascii="仿宋" w:hAnsi="仿宋" w:eastAsia="仿宋" w:cs="楷体_GB2312"/>
                <w:color w:val="000000"/>
                <w:sz w:val="24"/>
                <w:szCs w:val="24"/>
              </w:rPr>
            </w:pPr>
          </w:p>
          <w:p>
            <w:pPr>
              <w:widowControl/>
              <w:spacing w:line="400" w:lineRule="exact"/>
              <w:ind w:firstLine="120" w:firstLineChars="50"/>
              <w:jc w:val="left"/>
              <w:rPr>
                <w:rFonts w:ascii="仿宋" w:hAnsi="仿宋" w:eastAsia="仿宋" w:cs="楷体_GB2312"/>
                <w:color w:val="000000"/>
                <w:sz w:val="24"/>
                <w:szCs w:val="24"/>
              </w:rPr>
            </w:pPr>
            <w:r>
              <w:rPr>
                <w:rFonts w:hint="eastAsia" w:ascii="仿宋" w:hAnsi="仿宋" w:eastAsia="仿宋" w:cs="楷体_GB2312"/>
                <w:color w:val="000000"/>
                <w:sz w:val="24"/>
                <w:szCs w:val="24"/>
              </w:rPr>
              <w:t>提供样品</w:t>
            </w:r>
          </w:p>
          <w:p>
            <w:pPr>
              <w:widowControl/>
              <w:spacing w:line="400" w:lineRule="exact"/>
              <w:jc w:val="left"/>
              <w:rPr>
                <w:rFonts w:ascii="仿宋" w:hAnsi="仿宋" w:eastAsia="仿宋" w:cs="楷体_GB2312"/>
                <w:color w:val="000000"/>
                <w:sz w:val="24"/>
                <w:szCs w:val="24"/>
              </w:rPr>
            </w:pPr>
          </w:p>
          <w:p>
            <w:pPr>
              <w:widowControl/>
              <w:spacing w:line="400" w:lineRule="exact"/>
              <w:jc w:val="center"/>
              <w:rPr>
                <w:rFonts w:ascii="仿宋" w:hAnsi="仿宋" w:eastAsia="仿宋" w:cs="楷体_GB2312"/>
                <w:color w:val="000000"/>
                <w:sz w:val="24"/>
                <w:szCs w:val="24"/>
              </w:rPr>
            </w:pPr>
          </w:p>
        </w:tc>
      </w:tr>
      <w:tr>
        <w:tblPrEx>
          <w:tblLayout w:type="fixed"/>
          <w:tblCellMar>
            <w:top w:w="0" w:type="dxa"/>
            <w:left w:w="108" w:type="dxa"/>
            <w:bottom w:w="0" w:type="dxa"/>
            <w:right w:w="108" w:type="dxa"/>
          </w:tblCellMar>
        </w:tblPrEx>
        <w:trPr>
          <w:trHeight w:val="402" w:hRule="atLeast"/>
        </w:trPr>
        <w:tc>
          <w:tcPr>
            <w:tcW w:w="4568" w:type="dxa"/>
            <w:gridSpan w:val="3"/>
            <w:tcBorders>
              <w:top w:val="nil"/>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合计</w:t>
            </w:r>
          </w:p>
        </w:tc>
        <w:tc>
          <w:tcPr>
            <w:tcW w:w="708"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p>
        </w:tc>
        <w:tc>
          <w:tcPr>
            <w:tcW w:w="993" w:type="dxa"/>
            <w:tcBorders>
              <w:top w:val="nil"/>
              <w:left w:val="nil"/>
              <w:bottom w:val="single" w:color="auto" w:sz="4" w:space="0"/>
              <w:right w:val="single" w:color="auto" w:sz="4" w:space="0"/>
            </w:tcBorders>
            <w:shd w:val="clear" w:color="auto" w:fill="auto"/>
            <w:noWrap/>
            <w:vAlign w:val="center"/>
          </w:tcPr>
          <w:p>
            <w:pPr>
              <w:widowControl/>
              <w:spacing w:line="400" w:lineRule="exact"/>
              <w:rPr>
                <w:rFonts w:ascii="仿宋" w:hAnsi="仿宋" w:eastAsia="仿宋" w:cs="楷体_GB2312"/>
                <w:color w:val="000000"/>
                <w:sz w:val="24"/>
                <w:szCs w:val="24"/>
              </w:rPr>
            </w:pPr>
          </w:p>
        </w:tc>
        <w:tc>
          <w:tcPr>
            <w:tcW w:w="1134"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p>
        </w:tc>
        <w:tc>
          <w:tcPr>
            <w:tcW w:w="1134" w:type="dxa"/>
            <w:tcBorders>
              <w:top w:val="nil"/>
              <w:left w:val="nil"/>
              <w:bottom w:val="single" w:color="auto" w:sz="4" w:space="0"/>
              <w:right w:val="single" w:color="auto" w:sz="4" w:space="0"/>
            </w:tcBorders>
            <w:shd w:val="clear" w:color="auto" w:fill="auto"/>
            <w:noWrap/>
            <w:vAlign w:val="center"/>
          </w:tcPr>
          <w:p>
            <w:pPr>
              <w:widowControl/>
              <w:spacing w:line="400" w:lineRule="exact"/>
              <w:rPr>
                <w:rFonts w:ascii="仿宋" w:hAnsi="仿宋" w:eastAsia="仿宋" w:cs="楷体_GB2312"/>
                <w:color w:val="000000"/>
                <w:sz w:val="24"/>
                <w:szCs w:val="24"/>
              </w:rPr>
            </w:pPr>
          </w:p>
        </w:tc>
        <w:tc>
          <w:tcPr>
            <w:tcW w:w="1545"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rPr>
                <w:rFonts w:ascii="仿宋" w:hAnsi="仿宋" w:eastAsia="仿宋" w:cs="楷体_GB2312"/>
                <w:color w:val="000000"/>
                <w:sz w:val="24"/>
                <w:szCs w:val="24"/>
              </w:rPr>
            </w:pPr>
          </w:p>
        </w:tc>
      </w:tr>
      <w:tr>
        <w:tblPrEx>
          <w:tblLayout w:type="fixed"/>
          <w:tblCellMar>
            <w:top w:w="0" w:type="dxa"/>
            <w:left w:w="108" w:type="dxa"/>
            <w:bottom w:w="0" w:type="dxa"/>
            <w:right w:w="108" w:type="dxa"/>
          </w:tblCellMar>
        </w:tblPrEx>
        <w:trPr>
          <w:trHeight w:val="577" w:hRule="atLeast"/>
        </w:trPr>
        <w:tc>
          <w:tcPr>
            <w:tcW w:w="10082" w:type="dxa"/>
            <w:gridSpan w:val="8"/>
            <w:tcBorders>
              <w:top w:val="nil"/>
              <w:left w:val="single" w:color="auto" w:sz="4" w:space="0"/>
              <w:bottom w:val="nil"/>
              <w:right w:val="single" w:color="auto" w:sz="4" w:space="0"/>
            </w:tcBorders>
            <w:shd w:val="clear" w:color="auto" w:fill="auto"/>
            <w:noWrap/>
            <w:vAlign w:val="center"/>
          </w:tcPr>
          <w:p>
            <w:pPr>
              <w:widowControl/>
              <w:spacing w:line="400" w:lineRule="exact"/>
              <w:rPr>
                <w:rFonts w:ascii="仿宋" w:hAnsi="仿宋" w:eastAsia="仿宋" w:cs="楷体_GB2312"/>
                <w:color w:val="000000"/>
                <w:sz w:val="24"/>
                <w:szCs w:val="24"/>
              </w:rPr>
            </w:pPr>
            <w:r>
              <w:rPr>
                <w:rFonts w:hint="eastAsia" w:ascii="仿宋" w:hAnsi="仿宋" w:eastAsia="仿宋" w:cs="楷体_GB2312"/>
                <w:color w:val="000000"/>
                <w:sz w:val="24"/>
                <w:szCs w:val="24"/>
              </w:rPr>
              <w:t>总计报价（大写）：</w:t>
            </w:r>
          </w:p>
        </w:tc>
      </w:tr>
      <w:tr>
        <w:tblPrEx>
          <w:tblLayout w:type="fixed"/>
          <w:tblCellMar>
            <w:top w:w="0" w:type="dxa"/>
            <w:left w:w="108" w:type="dxa"/>
            <w:bottom w:w="0" w:type="dxa"/>
            <w:right w:w="108" w:type="dxa"/>
          </w:tblCellMar>
        </w:tblPrEx>
        <w:trPr>
          <w:trHeight w:val="577" w:hRule="atLeast"/>
        </w:trPr>
        <w:tc>
          <w:tcPr>
            <w:tcW w:w="10082" w:type="dxa"/>
            <w:gridSpan w:val="8"/>
            <w:tcBorders>
              <w:top w:val="nil"/>
              <w:left w:val="single" w:color="auto" w:sz="4" w:space="0"/>
              <w:bottom w:val="single" w:color="auto" w:sz="4" w:space="0"/>
              <w:right w:val="single" w:color="auto" w:sz="4" w:space="0"/>
            </w:tcBorders>
            <w:shd w:val="clear" w:color="auto" w:fill="auto"/>
            <w:noWrap/>
            <w:vAlign w:val="center"/>
          </w:tcPr>
          <w:p>
            <w:pPr>
              <w:widowControl/>
              <w:spacing w:line="400" w:lineRule="exact"/>
              <w:rPr>
                <w:rFonts w:ascii="仿宋" w:hAnsi="仿宋" w:eastAsia="仿宋" w:cs="楷体_GB2312"/>
                <w:color w:val="000000"/>
                <w:sz w:val="24"/>
                <w:szCs w:val="24"/>
              </w:rPr>
            </w:pPr>
          </w:p>
        </w:tc>
      </w:tr>
    </w:tbl>
    <w:p>
      <w:pPr>
        <w:ind w:firstLine="422" w:firstLineChars="150"/>
        <w:rPr>
          <w:rFonts w:ascii="仿宋" w:hAnsi="仿宋" w:eastAsia="仿宋" w:cs="楷体_GB2312"/>
          <w:b/>
          <w:color w:val="000000"/>
          <w:sz w:val="28"/>
          <w:szCs w:val="28"/>
        </w:rPr>
      </w:pPr>
    </w:p>
    <w:p>
      <w:pPr>
        <w:rPr>
          <w:rFonts w:ascii="仿宋" w:hAnsi="仿宋" w:eastAsia="仿宋" w:cs="楷体_GB2312"/>
          <w:b/>
          <w:color w:val="000000"/>
          <w:sz w:val="28"/>
          <w:szCs w:val="28"/>
        </w:rPr>
      </w:pPr>
      <w:r>
        <w:rPr>
          <w:rFonts w:hint="eastAsia" w:ascii="仿宋" w:hAnsi="仿宋" w:eastAsia="仿宋" w:cs="楷体_GB2312"/>
          <w:b/>
          <w:color w:val="000000"/>
          <w:sz w:val="28"/>
          <w:szCs w:val="28"/>
        </w:rPr>
        <w:t>三、供货商资质及报价要求：</w:t>
      </w:r>
    </w:p>
    <w:p>
      <w:pPr>
        <w:spacing w:line="360" w:lineRule="auto"/>
        <w:ind w:firstLine="280" w:firstLineChars="100"/>
        <w:rPr>
          <w:rFonts w:ascii="宋体" w:hAnsi="宋体" w:cs="仿宋"/>
          <w:sz w:val="28"/>
          <w:szCs w:val="28"/>
        </w:rPr>
      </w:pPr>
      <w:r>
        <w:rPr>
          <w:rFonts w:hint="eastAsia" w:ascii="仿宋" w:hAnsi="仿宋" w:eastAsia="仿宋" w:cs="楷体_GB2312"/>
          <w:color w:val="000000"/>
          <w:sz w:val="28"/>
          <w:szCs w:val="28"/>
        </w:rPr>
        <w:t>1、具有类似工程设备供货经验的供货商或相应生产能力的生产商均可以参加，并需提供有效的企业营业执照、税务登记证、组织机构代码证书（三证合一营业执照）。</w:t>
      </w:r>
    </w:p>
    <w:p>
      <w:pPr>
        <w:ind w:firstLine="280" w:firstLineChars="100"/>
        <w:rPr>
          <w:rFonts w:ascii="仿宋" w:hAnsi="仿宋" w:eastAsia="仿宋" w:cs="楷体_GB2312"/>
          <w:color w:val="000000"/>
          <w:sz w:val="28"/>
          <w:szCs w:val="28"/>
        </w:rPr>
      </w:pPr>
      <w:r>
        <w:rPr>
          <w:rFonts w:hint="eastAsia" w:ascii="仿宋" w:hAnsi="仿宋" w:eastAsia="仿宋" w:cs="楷体_GB2312"/>
          <w:color w:val="000000"/>
          <w:sz w:val="28"/>
          <w:szCs w:val="28"/>
        </w:rPr>
        <w:t xml:space="preserve"> 2、具有完善的配货售后服务，能及时供货、服务周到。</w:t>
      </w:r>
    </w:p>
    <w:p>
      <w:pPr>
        <w:ind w:firstLine="420" w:firstLineChars="150"/>
        <w:rPr>
          <w:rFonts w:ascii="仿宋" w:hAnsi="仿宋" w:eastAsia="仿宋" w:cs="楷体_GB2312"/>
          <w:color w:val="000000"/>
          <w:sz w:val="28"/>
          <w:szCs w:val="28"/>
        </w:rPr>
      </w:pPr>
      <w:r>
        <w:rPr>
          <w:rFonts w:hint="eastAsia" w:ascii="仿宋" w:hAnsi="仿宋" w:eastAsia="仿宋" w:cs="楷体_GB2312"/>
          <w:color w:val="000000"/>
          <w:sz w:val="28"/>
          <w:szCs w:val="28"/>
        </w:rPr>
        <w:t>3、供应商需以书面形式进行一次报价，报价含专票税（注明税点）、运输费用、装卸费用。</w:t>
      </w:r>
    </w:p>
    <w:p>
      <w:pPr>
        <w:ind w:firstLine="420" w:firstLineChars="150"/>
        <w:rPr>
          <w:rFonts w:ascii="仿宋" w:hAnsi="仿宋" w:eastAsia="仿宋" w:cs="楷体_GB2312"/>
          <w:color w:val="000000"/>
          <w:sz w:val="28"/>
          <w:szCs w:val="28"/>
        </w:rPr>
      </w:pPr>
      <w:r>
        <w:rPr>
          <w:rFonts w:hint="eastAsia" w:ascii="仿宋" w:hAnsi="仿宋" w:eastAsia="仿宋" w:cs="楷体_GB2312"/>
          <w:color w:val="000000"/>
          <w:sz w:val="28"/>
          <w:szCs w:val="28"/>
        </w:rPr>
        <w:t>4、产品报价需严格按规格型号、等级标准</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rPr>
        <w:t>进行报价。</w:t>
      </w:r>
    </w:p>
    <w:p>
      <w:pPr>
        <w:ind w:firstLine="420" w:firstLineChars="150"/>
        <w:rPr>
          <w:rFonts w:ascii="仿宋" w:hAnsi="仿宋" w:eastAsia="仿宋" w:cs="楷体_GB2312"/>
          <w:b/>
          <w:bCs/>
          <w:color w:val="000000"/>
          <w:sz w:val="28"/>
          <w:szCs w:val="28"/>
        </w:rPr>
      </w:pPr>
      <w:r>
        <w:rPr>
          <w:rFonts w:hint="eastAsia" w:ascii="仿宋" w:hAnsi="仿宋" w:eastAsia="仿宋" w:cs="楷体_GB2312"/>
          <w:color w:val="000000"/>
          <w:sz w:val="28"/>
          <w:szCs w:val="28"/>
        </w:rPr>
        <w:t>5、产品执行标准：生石灰质量符合规范JC/T479-2013 标准</w:t>
      </w:r>
      <w:r>
        <w:rPr>
          <w:rFonts w:hint="eastAsia" w:ascii="仿宋" w:hAnsi="仿宋" w:eastAsia="仿宋" w:cs="楷体_GB2312"/>
          <w:b/>
          <w:bCs/>
          <w:color w:val="000000"/>
          <w:sz w:val="28"/>
          <w:szCs w:val="28"/>
        </w:rPr>
        <w:t>。</w:t>
      </w:r>
    </w:p>
    <w:p>
      <w:pPr>
        <w:ind w:left="559" w:leftChars="133" w:hanging="280" w:hangingChars="100"/>
        <w:rPr>
          <w:rFonts w:ascii="仿宋" w:hAnsi="仿宋" w:eastAsia="仿宋" w:cs="楷体_GB2312"/>
          <w:color w:val="000000"/>
          <w:sz w:val="28"/>
          <w:szCs w:val="28"/>
        </w:rPr>
      </w:pPr>
      <w:r>
        <w:rPr>
          <w:rFonts w:hint="eastAsia" w:ascii="仿宋" w:hAnsi="仿宋" w:eastAsia="仿宋" w:cs="楷体_GB2312"/>
          <w:color w:val="000000"/>
          <w:sz w:val="28"/>
          <w:szCs w:val="28"/>
        </w:rPr>
        <w:t>6、供货</w:t>
      </w:r>
      <w:r>
        <w:rPr>
          <w:rFonts w:hint="eastAsia" w:ascii="仿宋" w:hAnsi="仿宋" w:eastAsia="仿宋" w:cs="楷体_GB2312"/>
          <w:color w:val="000000"/>
          <w:sz w:val="28"/>
          <w:szCs w:val="28"/>
          <w:lang w:eastAsia="zh-CN"/>
        </w:rPr>
        <w:t>所需总</w:t>
      </w:r>
      <w:r>
        <w:rPr>
          <w:rFonts w:hint="eastAsia" w:ascii="仿宋" w:hAnsi="仿宋" w:eastAsia="仿宋" w:cs="楷体_GB2312"/>
          <w:color w:val="000000"/>
          <w:sz w:val="28"/>
          <w:szCs w:val="28"/>
        </w:rPr>
        <w:t>周期</w:t>
      </w:r>
      <w:r>
        <w:rPr>
          <w:rFonts w:hint="eastAsia" w:ascii="仿宋" w:hAnsi="仿宋" w:eastAsia="仿宋" w:cs="楷体_GB2312"/>
          <w:color w:val="000000"/>
          <w:sz w:val="28"/>
          <w:szCs w:val="28"/>
          <w:lang w:eastAsia="zh-CN"/>
        </w:rPr>
        <w:t>为</w:t>
      </w:r>
      <w:r>
        <w:rPr>
          <w:rFonts w:hint="eastAsia" w:ascii="仿宋" w:hAnsi="仿宋" w:eastAsia="仿宋" w:cs="楷体_GB2312"/>
          <w:color w:val="000000"/>
          <w:sz w:val="28"/>
          <w:szCs w:val="28"/>
        </w:rPr>
        <w:t>40天，</w:t>
      </w:r>
      <w:r>
        <w:rPr>
          <w:rFonts w:hint="eastAsia" w:ascii="仿宋" w:hAnsi="仿宋" w:eastAsia="仿宋" w:cs="楷体_GB2312"/>
          <w:color w:val="000000"/>
          <w:sz w:val="28"/>
          <w:szCs w:val="28"/>
          <w:lang w:eastAsia="zh-CN"/>
        </w:rPr>
        <w:t>分批次供货，并</w:t>
      </w:r>
      <w:r>
        <w:rPr>
          <w:rFonts w:hint="eastAsia" w:ascii="仿宋" w:hAnsi="仿宋" w:eastAsia="仿宋" w:cs="楷体_GB2312"/>
          <w:color w:val="000000"/>
          <w:sz w:val="28"/>
          <w:szCs w:val="28"/>
        </w:rPr>
        <w:t>出具合格检验报告。</w:t>
      </w:r>
    </w:p>
    <w:p>
      <w:pPr>
        <w:ind w:firstLine="420" w:firstLineChars="150"/>
        <w:rPr>
          <w:rFonts w:hint="eastAsia" w:ascii="仿宋" w:hAnsi="仿宋" w:eastAsia="仿宋" w:cs="楷体_GB2312"/>
          <w:color w:val="000000"/>
          <w:sz w:val="28"/>
          <w:szCs w:val="28"/>
        </w:rPr>
      </w:pPr>
      <w:r>
        <w:rPr>
          <w:rFonts w:hint="eastAsia" w:ascii="仿宋" w:hAnsi="仿宋" w:eastAsia="仿宋" w:cs="楷体_GB2312"/>
          <w:color w:val="000000"/>
          <w:sz w:val="28"/>
          <w:szCs w:val="28"/>
        </w:rPr>
        <w:t>7、报价文件袋需盖章并密封（无章、没有密封不予接收）。</w:t>
      </w:r>
    </w:p>
    <w:p>
      <w:pPr>
        <w:ind w:left="279" w:leftChars="133" w:firstLine="140" w:firstLineChars="50"/>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8、报价方在提供报价文件时，</w:t>
      </w:r>
      <w:r>
        <w:rPr>
          <w:rFonts w:hint="eastAsia" w:ascii="仿宋" w:hAnsi="仿宋" w:eastAsia="仿宋" w:cs="楷体_GB2312"/>
          <w:color w:val="C0504D" w:themeColor="accent2"/>
          <w:sz w:val="28"/>
          <w:szCs w:val="28"/>
          <w:lang w:val="en-US" w:eastAsia="zh-CN"/>
        </w:rPr>
        <w:t>提供询价保证金壹万元回执单</w:t>
      </w:r>
      <w:r>
        <w:rPr>
          <w:rFonts w:hint="eastAsia" w:ascii="仿宋" w:hAnsi="仿宋" w:eastAsia="仿宋" w:cs="楷体_GB2312"/>
          <w:color w:val="000000"/>
          <w:sz w:val="28"/>
          <w:szCs w:val="28"/>
          <w:lang w:val="en-US" w:eastAsia="zh-CN"/>
        </w:rPr>
        <w:t>，公司指定账户：开户行中行安徽淮南新集支行，账号:181205791225。询价保证金在询价完成后，未成交单位3个工作日内予以返还，成交单位在签订采购合同后3个工作日内予以返还。</w:t>
      </w:r>
    </w:p>
    <w:p>
      <w:pPr>
        <w:ind w:firstLine="420" w:firstLineChars="150"/>
        <w:rPr>
          <w:rFonts w:ascii="仿宋" w:hAnsi="仿宋" w:eastAsia="仿宋" w:cs="楷体_GB2312"/>
          <w:color w:val="000000"/>
          <w:sz w:val="28"/>
          <w:szCs w:val="28"/>
        </w:rPr>
      </w:pPr>
      <w:r>
        <w:rPr>
          <w:rFonts w:hint="eastAsia" w:ascii="仿宋" w:hAnsi="仿宋" w:eastAsia="仿宋" w:cs="楷体_GB2312"/>
          <w:color w:val="000000"/>
          <w:sz w:val="28"/>
          <w:szCs w:val="28"/>
        </w:rPr>
        <w:t>8</w:t>
      </w:r>
      <w:r>
        <w:rPr>
          <w:rFonts w:ascii="仿宋" w:hAnsi="仿宋" w:eastAsia="仿宋" w:cs="楷体_GB2312"/>
          <w:color w:val="000000"/>
          <w:sz w:val="28"/>
          <w:szCs w:val="28"/>
        </w:rPr>
        <w:t>、询价响应供应商必须提供产品的质量保证说明及售后服务承诺。</w:t>
      </w:r>
    </w:p>
    <w:p>
      <w:pPr>
        <w:ind w:firstLine="420" w:firstLineChars="150"/>
        <w:rPr>
          <w:rFonts w:ascii="仿宋" w:hAnsi="仿宋" w:eastAsia="仿宋" w:cs="楷体_GB2312"/>
          <w:color w:val="000000"/>
          <w:sz w:val="28"/>
          <w:szCs w:val="28"/>
        </w:rPr>
      </w:pPr>
      <w:r>
        <w:rPr>
          <w:rFonts w:hint="eastAsia" w:ascii="仿宋" w:hAnsi="仿宋" w:eastAsia="仿宋" w:cs="楷体_GB2312"/>
          <w:color w:val="000000"/>
          <w:sz w:val="28"/>
          <w:szCs w:val="28"/>
        </w:rPr>
        <w:t>9、报价文件必须由单位法人和授权代理人分别签字并盖章后方可有效。</w:t>
      </w:r>
    </w:p>
    <w:p>
      <w:pPr>
        <w:ind w:firstLine="420" w:firstLineChars="150"/>
        <w:rPr>
          <w:rFonts w:ascii="仿宋" w:hAnsi="仿宋" w:eastAsia="仿宋" w:cs="楷体_GB2312"/>
          <w:color w:val="000000"/>
          <w:sz w:val="28"/>
          <w:szCs w:val="28"/>
        </w:rPr>
      </w:pPr>
      <w:r>
        <w:rPr>
          <w:rFonts w:hint="eastAsia" w:ascii="仿宋" w:hAnsi="仿宋" w:eastAsia="仿宋" w:cs="楷体_GB2312"/>
          <w:color w:val="000000"/>
          <w:sz w:val="28"/>
          <w:szCs w:val="28"/>
        </w:rPr>
        <w:t>10、报价期间相关费用由报价人自理。</w:t>
      </w:r>
    </w:p>
    <w:p>
      <w:pPr>
        <w:spacing w:line="300" w:lineRule="auto"/>
        <w:rPr>
          <w:rFonts w:ascii="仿宋" w:hAnsi="仿宋" w:eastAsia="仿宋" w:cs="楷体_GB2312"/>
          <w:b/>
          <w:color w:val="000000"/>
          <w:sz w:val="28"/>
          <w:szCs w:val="28"/>
        </w:rPr>
      </w:pPr>
      <w:r>
        <w:rPr>
          <w:rFonts w:hint="eastAsia" w:ascii="仿宋" w:hAnsi="仿宋" w:eastAsia="仿宋" w:cs="楷体_GB2312"/>
          <w:b/>
          <w:color w:val="000000"/>
          <w:sz w:val="28"/>
          <w:szCs w:val="28"/>
        </w:rPr>
        <w:t>四</w:t>
      </w:r>
      <w:r>
        <w:rPr>
          <w:rFonts w:ascii="仿宋" w:hAnsi="仿宋" w:eastAsia="仿宋" w:cs="楷体_GB2312"/>
          <w:b/>
          <w:color w:val="000000"/>
          <w:sz w:val="28"/>
          <w:szCs w:val="28"/>
        </w:rPr>
        <w:t>、结算</w:t>
      </w:r>
      <w:r>
        <w:rPr>
          <w:rFonts w:hint="eastAsia" w:ascii="仿宋" w:hAnsi="仿宋" w:eastAsia="仿宋" w:cs="楷体_GB2312"/>
          <w:b/>
          <w:color w:val="000000"/>
          <w:sz w:val="28"/>
          <w:szCs w:val="28"/>
        </w:rPr>
        <w:t>付款</w:t>
      </w:r>
      <w:r>
        <w:rPr>
          <w:rFonts w:ascii="仿宋" w:hAnsi="仿宋" w:eastAsia="仿宋" w:cs="楷体_GB2312"/>
          <w:b/>
          <w:color w:val="000000"/>
          <w:sz w:val="28"/>
          <w:szCs w:val="28"/>
        </w:rPr>
        <w:t>方式</w:t>
      </w:r>
      <w:r>
        <w:rPr>
          <w:rFonts w:hint="eastAsia" w:ascii="仿宋" w:hAnsi="仿宋" w:eastAsia="仿宋" w:cs="楷体_GB2312"/>
          <w:b/>
          <w:color w:val="000000"/>
          <w:sz w:val="28"/>
          <w:szCs w:val="28"/>
        </w:rPr>
        <w:t>：</w:t>
      </w:r>
    </w:p>
    <w:p>
      <w:pPr>
        <w:tabs>
          <w:tab w:val="left" w:pos="540"/>
        </w:tabs>
        <w:spacing w:line="300" w:lineRule="auto"/>
        <w:ind w:firstLine="420" w:firstLineChars="150"/>
        <w:rPr>
          <w:rFonts w:ascii="仿宋" w:hAnsi="仿宋" w:eastAsia="仿宋" w:cs="楷体_GB2312"/>
          <w:color w:val="000000"/>
          <w:sz w:val="28"/>
          <w:szCs w:val="28"/>
        </w:rPr>
      </w:pPr>
      <w:r>
        <w:rPr>
          <w:rFonts w:hint="eastAsia" w:ascii="仿宋" w:hAnsi="仿宋" w:eastAsia="仿宋" w:cs="楷体_GB2312"/>
          <w:color w:val="000000"/>
          <w:sz w:val="28"/>
          <w:szCs w:val="28"/>
        </w:rPr>
        <w:t>1、本</w:t>
      </w:r>
      <w:r>
        <w:rPr>
          <w:rFonts w:hint="eastAsia" w:ascii="仿宋" w:hAnsi="仿宋" w:eastAsia="仿宋" w:cs="楷体_GB2312"/>
          <w:color w:val="000000"/>
          <w:sz w:val="28"/>
          <w:szCs w:val="28"/>
          <w:lang w:eastAsia="zh-CN"/>
        </w:rPr>
        <w:t>材料采购</w:t>
      </w:r>
      <w:r>
        <w:rPr>
          <w:rFonts w:hint="eastAsia" w:ascii="仿宋" w:hAnsi="仿宋" w:eastAsia="仿宋" w:cs="楷体_GB2312"/>
          <w:color w:val="000000"/>
          <w:sz w:val="28"/>
          <w:szCs w:val="28"/>
        </w:rPr>
        <w:t>无预付款，月度据实结算；付款组成方式采取70%承兑汇票，30%现金。</w:t>
      </w:r>
    </w:p>
    <w:p>
      <w:pPr>
        <w:tabs>
          <w:tab w:val="left" w:pos="540"/>
        </w:tabs>
        <w:spacing w:line="300" w:lineRule="auto"/>
        <w:ind w:firstLine="420" w:firstLineChars="150"/>
        <w:rPr>
          <w:rFonts w:ascii="仿宋" w:hAnsi="仿宋" w:eastAsia="仿宋" w:cs="楷体_GB2312"/>
          <w:color w:val="000000"/>
          <w:sz w:val="28"/>
          <w:szCs w:val="28"/>
        </w:rPr>
      </w:pPr>
      <w:r>
        <w:rPr>
          <w:rFonts w:hint="eastAsia" w:ascii="仿宋" w:hAnsi="仿宋" w:eastAsia="仿宋" w:cs="楷体_GB2312"/>
          <w:color w:val="000000"/>
          <w:sz w:val="28"/>
          <w:szCs w:val="28"/>
        </w:rPr>
        <w:t>2、</w:t>
      </w:r>
      <w:r>
        <w:rPr>
          <w:rFonts w:hint="eastAsia" w:ascii="仿宋" w:hAnsi="仿宋" w:eastAsia="仿宋" w:cs="楷体_GB2312"/>
          <w:color w:val="000000"/>
          <w:sz w:val="28"/>
          <w:szCs w:val="28"/>
          <w:lang w:eastAsia="zh-CN"/>
        </w:rPr>
        <w:t>报价</w:t>
      </w:r>
      <w:r>
        <w:rPr>
          <w:rFonts w:hint="eastAsia" w:ascii="仿宋" w:hAnsi="仿宋" w:eastAsia="仿宋" w:cs="楷体_GB2312"/>
          <w:color w:val="000000"/>
          <w:sz w:val="28"/>
          <w:szCs w:val="28"/>
        </w:rPr>
        <w:t>人需按合同约定的供货期间进行供货，材料进场需进行验收</w:t>
      </w:r>
      <w:r>
        <w:rPr>
          <w:rFonts w:hint="eastAsia" w:ascii="仿宋" w:hAnsi="仿宋" w:eastAsia="仿宋" w:cs="楷体_GB2312"/>
          <w:color w:val="000000"/>
          <w:sz w:val="28"/>
          <w:szCs w:val="28"/>
          <w:lang w:eastAsia="zh-CN"/>
        </w:rPr>
        <w:t>，材料不得低于样品等级</w:t>
      </w:r>
      <w:r>
        <w:rPr>
          <w:rFonts w:hint="eastAsia" w:ascii="仿宋" w:hAnsi="仿宋" w:eastAsia="仿宋" w:cs="楷体_GB2312"/>
          <w:color w:val="000000"/>
          <w:sz w:val="28"/>
          <w:szCs w:val="28"/>
        </w:rPr>
        <w:t>，验收合格后，方可投入工程使用。月度根据供货数量据实结算。</w:t>
      </w:r>
    </w:p>
    <w:p>
      <w:pPr>
        <w:tabs>
          <w:tab w:val="left" w:pos="540"/>
        </w:tabs>
        <w:spacing w:line="300" w:lineRule="auto"/>
        <w:ind w:firstLine="420" w:firstLineChars="150"/>
        <w:rPr>
          <w:rFonts w:hint="eastAsia" w:ascii="仿宋" w:hAnsi="仿宋" w:eastAsia="仿宋" w:cs="楷体_GB2312"/>
          <w:color w:val="000000"/>
          <w:sz w:val="28"/>
          <w:szCs w:val="28"/>
        </w:rPr>
      </w:pPr>
      <w:r>
        <w:rPr>
          <w:rFonts w:hint="eastAsia" w:ascii="仿宋" w:hAnsi="仿宋" w:eastAsia="仿宋" w:cs="楷体_GB2312"/>
          <w:color w:val="000000"/>
          <w:sz w:val="28"/>
          <w:szCs w:val="28"/>
        </w:rPr>
        <w:t>3、发票要求：</w:t>
      </w:r>
      <w:r>
        <w:rPr>
          <w:rFonts w:hint="eastAsia" w:ascii="仿宋" w:hAnsi="仿宋" w:eastAsia="仿宋" w:cs="楷体_GB2312"/>
          <w:color w:val="000000"/>
          <w:sz w:val="28"/>
          <w:szCs w:val="28"/>
          <w:lang w:eastAsia="zh-CN"/>
        </w:rPr>
        <w:t>报价</w:t>
      </w:r>
      <w:r>
        <w:rPr>
          <w:rFonts w:hint="eastAsia" w:ascii="仿宋" w:hAnsi="仿宋" w:eastAsia="仿宋" w:cs="楷体_GB2312"/>
          <w:color w:val="000000"/>
          <w:sz w:val="28"/>
          <w:szCs w:val="28"/>
        </w:rPr>
        <w:t>方每次办理材料款时，必须开具</w:t>
      </w:r>
      <w:r>
        <w:rPr>
          <w:rFonts w:hint="eastAsia" w:ascii="仿宋" w:hAnsi="仿宋" w:eastAsia="仿宋" w:cs="楷体_GB2312"/>
          <w:color w:val="000000"/>
          <w:sz w:val="28"/>
          <w:szCs w:val="28"/>
          <w:lang w:eastAsia="zh-CN"/>
        </w:rPr>
        <w:t>与报价承诺一致的</w:t>
      </w:r>
      <w:r>
        <w:rPr>
          <w:rFonts w:hint="eastAsia" w:ascii="仿宋" w:hAnsi="仿宋" w:eastAsia="仿宋" w:cs="楷体_GB2312"/>
          <w:color w:val="000000"/>
          <w:sz w:val="28"/>
          <w:szCs w:val="28"/>
        </w:rPr>
        <w:t>增值税专用发票，询价方及报价方双方名称、纳税人识别号、地址、电话、开户行及账号信息必须准确无误（与税务局备案信息保持一致），否则造成发票未经税务部门认证通过的，后果由报价方自行承担。</w:t>
      </w:r>
    </w:p>
    <w:p>
      <w:pPr>
        <w:spacing w:line="300" w:lineRule="auto"/>
        <w:rPr>
          <w:rFonts w:hint="eastAsia" w:ascii="仿宋" w:hAnsi="仿宋" w:eastAsia="仿宋" w:cs="楷体_GB2312"/>
          <w:b/>
          <w:color w:val="000000"/>
          <w:sz w:val="28"/>
          <w:szCs w:val="28"/>
        </w:rPr>
      </w:pPr>
      <w:r>
        <w:rPr>
          <w:rFonts w:hint="eastAsia" w:ascii="仿宋" w:hAnsi="仿宋" w:eastAsia="仿宋" w:cs="楷体_GB2312"/>
          <w:b/>
          <w:color w:val="000000"/>
          <w:sz w:val="28"/>
          <w:szCs w:val="28"/>
          <w:lang w:eastAsia="zh-CN"/>
        </w:rPr>
        <w:t>五</w:t>
      </w:r>
      <w:r>
        <w:rPr>
          <w:rFonts w:hint="eastAsia" w:ascii="仿宋" w:hAnsi="仿宋" w:eastAsia="仿宋" w:cs="楷体_GB2312"/>
          <w:b/>
          <w:color w:val="000000"/>
          <w:sz w:val="28"/>
          <w:szCs w:val="28"/>
        </w:rPr>
        <w:t>、</w:t>
      </w:r>
      <w:r>
        <w:rPr>
          <w:rFonts w:hint="eastAsia" w:ascii="仿宋" w:hAnsi="仿宋" w:eastAsia="仿宋" w:cs="楷体_GB2312"/>
          <w:b/>
          <w:color w:val="000000"/>
          <w:sz w:val="28"/>
          <w:szCs w:val="28"/>
          <w:lang w:eastAsia="zh-CN"/>
        </w:rPr>
        <w:t>报价</w:t>
      </w:r>
      <w:r>
        <w:rPr>
          <w:rFonts w:hint="eastAsia" w:ascii="仿宋" w:hAnsi="仿宋" w:eastAsia="仿宋" w:cs="楷体_GB2312"/>
          <w:b/>
          <w:color w:val="000000"/>
          <w:sz w:val="28"/>
          <w:szCs w:val="28"/>
        </w:rPr>
        <w:t>日程安排及相关事宜：</w:t>
      </w:r>
    </w:p>
    <w:p>
      <w:pPr>
        <w:tabs>
          <w:tab w:val="left" w:pos="540"/>
        </w:tabs>
        <w:spacing w:line="300" w:lineRule="auto"/>
        <w:ind w:firstLine="420" w:firstLineChars="150"/>
        <w:rPr>
          <w:rFonts w:hint="default" w:ascii="仿宋" w:hAnsi="仿宋" w:eastAsia="仿宋" w:cs="楷体_GB2312"/>
          <w:color w:val="000000"/>
          <w:sz w:val="28"/>
          <w:szCs w:val="28"/>
          <w:lang w:val="en-US" w:eastAsia="zh-CN"/>
        </w:rPr>
      </w:pPr>
      <w:r>
        <w:rPr>
          <w:rFonts w:hint="eastAsia" w:ascii="仿宋" w:hAnsi="仿宋" w:eastAsia="仿宋" w:cs="楷体_GB2312"/>
          <w:color w:val="000000"/>
          <w:sz w:val="28"/>
          <w:szCs w:val="28"/>
          <w:lang w:eastAsia="zh-CN"/>
        </w:rPr>
        <w:t>在询价文件网上公布之起，有意报价方网上下载询价文件，</w:t>
      </w:r>
      <w:r>
        <w:rPr>
          <w:rFonts w:hint="eastAsia" w:ascii="仿宋" w:hAnsi="仿宋" w:eastAsia="仿宋" w:cs="楷体_GB2312"/>
          <w:color w:val="000000"/>
          <w:sz w:val="28"/>
          <w:szCs w:val="28"/>
        </w:rPr>
        <w:t>定于</w:t>
      </w:r>
      <w:r>
        <w:rPr>
          <w:rFonts w:hint="eastAsia" w:ascii="仿宋" w:hAnsi="仿宋" w:eastAsia="仿宋" w:cs="楷体_GB2312"/>
          <w:color w:val="000000"/>
          <w:sz w:val="28"/>
          <w:szCs w:val="28"/>
          <w:lang w:val="en-US" w:eastAsia="zh-CN"/>
        </w:rPr>
        <w:t>2020</w:t>
      </w:r>
      <w:r>
        <w:rPr>
          <w:rFonts w:hint="eastAsia" w:ascii="仿宋" w:hAnsi="仿宋" w:eastAsia="仿宋" w:cs="楷体_GB2312"/>
          <w:color w:val="auto"/>
          <w:sz w:val="28"/>
          <w:szCs w:val="28"/>
        </w:rPr>
        <w:t xml:space="preserve">年 </w:t>
      </w:r>
      <w:r>
        <w:rPr>
          <w:rFonts w:hint="eastAsia" w:ascii="仿宋" w:hAnsi="仿宋" w:eastAsia="仿宋" w:cs="楷体_GB2312"/>
          <w:color w:val="auto"/>
          <w:sz w:val="28"/>
          <w:szCs w:val="28"/>
          <w:lang w:val="en-US" w:eastAsia="zh-CN"/>
        </w:rPr>
        <w:t>4</w:t>
      </w:r>
      <w:r>
        <w:rPr>
          <w:rFonts w:hint="eastAsia" w:ascii="仿宋" w:hAnsi="仿宋" w:eastAsia="仿宋" w:cs="楷体_GB2312"/>
          <w:color w:val="auto"/>
          <w:sz w:val="28"/>
          <w:szCs w:val="28"/>
        </w:rPr>
        <w:t>月</w:t>
      </w:r>
      <w:r>
        <w:rPr>
          <w:rFonts w:hint="eastAsia" w:ascii="仿宋" w:hAnsi="仿宋" w:eastAsia="仿宋" w:cs="楷体_GB2312"/>
          <w:color w:val="auto"/>
          <w:sz w:val="28"/>
          <w:szCs w:val="28"/>
          <w:lang w:val="en-US" w:eastAsia="zh-CN"/>
        </w:rPr>
        <w:t xml:space="preserve"> 17</w:t>
      </w:r>
      <w:r>
        <w:rPr>
          <w:rFonts w:hint="eastAsia" w:ascii="仿宋" w:hAnsi="仿宋" w:eastAsia="仿宋" w:cs="楷体_GB2312"/>
          <w:color w:val="auto"/>
          <w:sz w:val="28"/>
          <w:szCs w:val="28"/>
        </w:rPr>
        <w:t>日</w:t>
      </w:r>
      <w:r>
        <w:rPr>
          <w:rFonts w:hint="eastAsia" w:ascii="仿宋" w:hAnsi="仿宋" w:eastAsia="仿宋" w:cs="楷体_GB2312"/>
          <w:color w:val="auto"/>
          <w:sz w:val="28"/>
          <w:szCs w:val="28"/>
          <w:lang w:eastAsia="zh-CN"/>
        </w:rPr>
        <w:t>当天</w:t>
      </w:r>
      <w:r>
        <w:rPr>
          <w:rFonts w:hint="eastAsia" w:ascii="仿宋" w:hAnsi="仿宋" w:eastAsia="仿宋" w:cs="楷体_GB2312"/>
          <w:color w:val="auto"/>
          <w:sz w:val="28"/>
          <w:szCs w:val="28"/>
          <w:lang w:val="en-US" w:eastAsia="zh-CN"/>
        </w:rPr>
        <w:t>10时前</w:t>
      </w:r>
      <w:r>
        <w:rPr>
          <w:rFonts w:hint="eastAsia" w:ascii="仿宋" w:hAnsi="仿宋" w:eastAsia="仿宋" w:cs="楷体_GB2312"/>
          <w:color w:val="auto"/>
          <w:sz w:val="28"/>
          <w:szCs w:val="28"/>
        </w:rPr>
        <w:t xml:space="preserve"> </w:t>
      </w:r>
      <w:r>
        <w:rPr>
          <w:rFonts w:hint="eastAsia" w:ascii="仿宋" w:hAnsi="仿宋" w:eastAsia="仿宋" w:cs="楷体_GB2312"/>
          <w:color w:val="C0504D" w:themeColor="accent2"/>
          <w:sz w:val="28"/>
          <w:szCs w:val="28"/>
          <w:lang w:eastAsia="zh-CN"/>
        </w:rPr>
        <w:t>，</w:t>
      </w:r>
      <w:r>
        <w:rPr>
          <w:rFonts w:hint="eastAsia" w:ascii="仿宋" w:hAnsi="仿宋" w:eastAsia="仿宋" w:cs="楷体_GB2312"/>
          <w:color w:val="000000"/>
          <w:sz w:val="28"/>
          <w:szCs w:val="28"/>
        </w:rPr>
        <w:t>各</w:t>
      </w:r>
      <w:r>
        <w:rPr>
          <w:rFonts w:hint="eastAsia" w:ascii="仿宋" w:hAnsi="仿宋" w:eastAsia="仿宋" w:cs="楷体_GB2312"/>
          <w:color w:val="000000"/>
          <w:sz w:val="28"/>
          <w:szCs w:val="28"/>
          <w:lang w:eastAsia="zh-CN"/>
        </w:rPr>
        <w:t>报价</w:t>
      </w:r>
      <w:r>
        <w:rPr>
          <w:rFonts w:hint="eastAsia" w:ascii="仿宋" w:hAnsi="仿宋" w:eastAsia="仿宋" w:cs="楷体_GB2312"/>
          <w:color w:val="000000"/>
          <w:sz w:val="28"/>
          <w:szCs w:val="28"/>
        </w:rPr>
        <w:t>单位</w:t>
      </w:r>
      <w:r>
        <w:rPr>
          <w:rFonts w:hint="eastAsia" w:ascii="仿宋" w:hAnsi="仿宋" w:eastAsia="仿宋" w:cs="楷体_GB2312"/>
          <w:color w:val="000000"/>
          <w:sz w:val="28"/>
          <w:szCs w:val="28"/>
          <w:lang w:eastAsia="zh-CN"/>
        </w:rPr>
        <w:t>把报价</w:t>
      </w:r>
      <w:r>
        <w:rPr>
          <w:rFonts w:hint="eastAsia" w:ascii="仿宋" w:hAnsi="仿宋" w:eastAsia="仿宋" w:cs="楷体_GB2312"/>
          <w:color w:val="000000"/>
          <w:sz w:val="28"/>
          <w:szCs w:val="28"/>
        </w:rPr>
        <w:t>文件</w:t>
      </w:r>
      <w:r>
        <w:rPr>
          <w:rFonts w:hint="eastAsia" w:ascii="仿宋" w:hAnsi="仿宋" w:eastAsia="仿宋" w:cs="楷体_GB2312"/>
          <w:color w:val="000000"/>
          <w:sz w:val="28"/>
          <w:szCs w:val="28"/>
          <w:lang w:eastAsia="zh-CN"/>
        </w:rPr>
        <w:t>及样品</w:t>
      </w:r>
      <w:r>
        <w:rPr>
          <w:rFonts w:hint="eastAsia" w:ascii="仿宋" w:hAnsi="仿宋" w:eastAsia="仿宋" w:cs="楷体_GB2312"/>
          <w:color w:val="000000"/>
          <w:sz w:val="28"/>
          <w:szCs w:val="28"/>
        </w:rPr>
        <w:t>递交至淮南市毛集实验区工业园区新集煤电办公楼</w:t>
      </w:r>
      <w:r>
        <w:rPr>
          <w:rFonts w:hint="eastAsia" w:ascii="仿宋" w:hAnsi="仿宋" w:eastAsia="仿宋" w:cs="楷体_GB2312"/>
          <w:color w:val="000000"/>
          <w:sz w:val="28"/>
          <w:szCs w:val="28"/>
          <w:lang w:eastAsia="zh-CN"/>
        </w:rPr>
        <w:t>（九楼供应部），</w:t>
      </w:r>
      <w:r>
        <w:rPr>
          <w:rFonts w:hint="eastAsia" w:ascii="仿宋" w:hAnsi="仿宋" w:eastAsia="仿宋" w:cs="楷体_GB2312"/>
          <w:color w:val="000000"/>
          <w:sz w:val="28"/>
          <w:szCs w:val="28"/>
        </w:rPr>
        <w:t>逾期送达的</w:t>
      </w:r>
      <w:r>
        <w:rPr>
          <w:rFonts w:hint="eastAsia" w:ascii="仿宋" w:hAnsi="仿宋" w:eastAsia="仿宋" w:cs="楷体_GB2312"/>
          <w:color w:val="000000"/>
          <w:sz w:val="28"/>
          <w:szCs w:val="28"/>
          <w:lang w:eastAsia="zh-CN"/>
        </w:rPr>
        <w:t>报价</w:t>
      </w:r>
      <w:r>
        <w:rPr>
          <w:rFonts w:hint="eastAsia" w:ascii="仿宋" w:hAnsi="仿宋" w:eastAsia="仿宋" w:cs="楷体_GB2312"/>
          <w:color w:val="000000"/>
          <w:sz w:val="28"/>
          <w:szCs w:val="28"/>
        </w:rPr>
        <w:t>文件被拒绝</w:t>
      </w:r>
      <w:r>
        <w:rPr>
          <w:rFonts w:hint="eastAsia" w:ascii="仿宋" w:hAnsi="仿宋" w:eastAsia="仿宋" w:cs="楷体_GB2312"/>
          <w:color w:val="000000"/>
          <w:sz w:val="28"/>
          <w:szCs w:val="28"/>
          <w:lang w:eastAsia="zh-CN"/>
        </w:rPr>
        <w:t>。</w:t>
      </w:r>
      <w:r>
        <w:rPr>
          <w:rFonts w:hint="eastAsia" w:ascii="仿宋" w:hAnsi="仿宋" w:eastAsia="仿宋" w:cs="楷体_GB2312"/>
          <w:color w:val="auto"/>
          <w:sz w:val="28"/>
          <w:szCs w:val="28"/>
          <w:lang w:val="en-US" w:eastAsia="zh-CN"/>
        </w:rPr>
        <w:t>2020</w:t>
      </w:r>
      <w:r>
        <w:rPr>
          <w:rFonts w:hint="eastAsia" w:ascii="仿宋" w:hAnsi="仿宋" w:eastAsia="仿宋" w:cs="楷体_GB2312"/>
          <w:color w:val="auto"/>
          <w:sz w:val="28"/>
          <w:szCs w:val="28"/>
        </w:rPr>
        <w:t xml:space="preserve">年 </w:t>
      </w:r>
      <w:r>
        <w:rPr>
          <w:rFonts w:hint="eastAsia" w:ascii="仿宋" w:hAnsi="仿宋" w:eastAsia="仿宋" w:cs="楷体_GB2312"/>
          <w:color w:val="auto"/>
          <w:sz w:val="28"/>
          <w:szCs w:val="28"/>
          <w:lang w:val="en-US" w:eastAsia="zh-CN"/>
        </w:rPr>
        <w:t>4</w:t>
      </w:r>
      <w:r>
        <w:rPr>
          <w:rFonts w:hint="eastAsia" w:ascii="仿宋" w:hAnsi="仿宋" w:eastAsia="仿宋" w:cs="楷体_GB2312"/>
          <w:color w:val="auto"/>
          <w:sz w:val="28"/>
          <w:szCs w:val="28"/>
        </w:rPr>
        <w:t>月</w:t>
      </w:r>
      <w:r>
        <w:rPr>
          <w:rFonts w:hint="eastAsia" w:ascii="仿宋" w:hAnsi="仿宋" w:eastAsia="仿宋" w:cs="楷体_GB2312"/>
          <w:color w:val="auto"/>
          <w:sz w:val="28"/>
          <w:szCs w:val="28"/>
          <w:lang w:val="en-US" w:eastAsia="zh-CN"/>
        </w:rPr>
        <w:t xml:space="preserve"> 17</w:t>
      </w:r>
      <w:r>
        <w:rPr>
          <w:rFonts w:hint="eastAsia" w:ascii="仿宋" w:hAnsi="仿宋" w:eastAsia="仿宋" w:cs="楷体_GB2312"/>
          <w:color w:val="auto"/>
          <w:sz w:val="28"/>
          <w:szCs w:val="28"/>
        </w:rPr>
        <w:t xml:space="preserve">日 </w:t>
      </w:r>
      <w:r>
        <w:rPr>
          <w:rFonts w:hint="eastAsia" w:ascii="仿宋" w:hAnsi="仿宋" w:eastAsia="仿宋" w:cs="楷体_GB2312"/>
          <w:color w:val="auto"/>
          <w:sz w:val="28"/>
          <w:szCs w:val="28"/>
          <w:lang w:val="en-US" w:eastAsia="zh-CN"/>
        </w:rPr>
        <w:t>10时当众开启各方报价文件</w:t>
      </w:r>
      <w:r>
        <w:rPr>
          <w:rFonts w:hint="eastAsia" w:ascii="仿宋" w:hAnsi="仿宋" w:eastAsia="仿宋" w:cs="楷体_GB2312"/>
          <w:color w:val="C0504D" w:themeColor="accent2"/>
          <w:sz w:val="28"/>
          <w:szCs w:val="28"/>
          <w:lang w:val="en-US" w:eastAsia="zh-CN"/>
        </w:rPr>
        <w:t>。</w:t>
      </w:r>
    </w:p>
    <w:p>
      <w:pPr>
        <w:tabs>
          <w:tab w:val="left" w:pos="540"/>
        </w:tabs>
        <w:spacing w:line="300" w:lineRule="auto"/>
        <w:ind w:firstLine="420" w:firstLineChars="150"/>
        <w:rPr>
          <w:rFonts w:hint="eastAsia" w:ascii="仿宋" w:hAnsi="仿宋" w:eastAsia="仿宋" w:cs="楷体_GB2312"/>
          <w:color w:val="000000"/>
          <w:sz w:val="28"/>
          <w:szCs w:val="28"/>
        </w:rPr>
      </w:pPr>
    </w:p>
    <w:p>
      <w:pPr>
        <w:rPr>
          <w:rFonts w:ascii="仿宋" w:hAnsi="仿宋" w:eastAsia="仿宋" w:cs="楷体_GB2312"/>
          <w:b/>
          <w:color w:val="000000"/>
          <w:sz w:val="28"/>
          <w:szCs w:val="28"/>
        </w:rPr>
      </w:pPr>
      <w:r>
        <w:rPr>
          <w:rFonts w:hint="eastAsia" w:ascii="仿宋" w:hAnsi="仿宋" w:eastAsia="仿宋" w:cs="楷体_GB2312"/>
          <w:b/>
          <w:color w:val="000000"/>
          <w:sz w:val="28"/>
          <w:szCs w:val="28"/>
          <w:lang w:eastAsia="zh-CN"/>
        </w:rPr>
        <w:t>六</w:t>
      </w:r>
      <w:r>
        <w:rPr>
          <w:rFonts w:hint="eastAsia" w:ascii="仿宋" w:hAnsi="仿宋" w:eastAsia="仿宋" w:cs="楷体_GB2312"/>
          <w:b/>
          <w:color w:val="000000"/>
          <w:sz w:val="28"/>
          <w:szCs w:val="28"/>
        </w:rPr>
        <w:t>、其它注意事项</w:t>
      </w:r>
    </w:p>
    <w:p>
      <w:pPr>
        <w:ind w:firstLine="420" w:firstLineChars="150"/>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ascii="仿宋" w:hAnsi="仿宋" w:eastAsia="仿宋" w:cs="楷体_GB2312"/>
          <w:color w:val="000000"/>
          <w:sz w:val="28"/>
          <w:szCs w:val="28"/>
        </w:rPr>
        <w:t>出现下列情况之一者，</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文件无效，作废处理</w:t>
      </w:r>
      <w:r>
        <w:rPr>
          <w:rFonts w:hint="eastAsia" w:ascii="仿宋" w:hAnsi="仿宋" w:eastAsia="仿宋" w:cs="楷体_GB2312"/>
          <w:color w:val="000000"/>
          <w:sz w:val="28"/>
          <w:szCs w:val="28"/>
        </w:rPr>
        <w:t>：</w:t>
      </w:r>
    </w:p>
    <w:p>
      <w:pPr>
        <w:ind w:left="455" w:leftChars="150" w:hanging="140" w:hangingChars="50"/>
        <w:rPr>
          <w:rFonts w:ascii="仿宋" w:hAnsi="仿宋" w:eastAsia="仿宋" w:cs="楷体_GB2312"/>
          <w:color w:val="000000"/>
          <w:sz w:val="28"/>
          <w:szCs w:val="28"/>
        </w:rPr>
      </w:pPr>
      <w:r>
        <w:rPr>
          <w:rFonts w:ascii="仿宋" w:hAnsi="仿宋" w:eastAsia="仿宋" w:cs="楷体_GB2312"/>
          <w:color w:val="000000"/>
          <w:sz w:val="28"/>
          <w:szCs w:val="28"/>
        </w:rPr>
        <w:t>(1)未提供营业执照有效复印件(加盖企业公章)。</w:t>
      </w:r>
    </w:p>
    <w:p>
      <w:pPr>
        <w:ind w:left="455" w:leftChars="150" w:hanging="140" w:hangingChars="50"/>
        <w:rPr>
          <w:rFonts w:ascii="仿宋" w:hAnsi="仿宋" w:eastAsia="仿宋" w:cs="楷体_GB2312"/>
          <w:color w:val="000000"/>
          <w:sz w:val="28"/>
          <w:szCs w:val="28"/>
        </w:rPr>
      </w:pPr>
      <w:r>
        <w:rPr>
          <w:rFonts w:ascii="仿宋" w:hAnsi="仿宋" w:eastAsia="仿宋" w:cs="楷体_GB2312"/>
          <w:color w:val="000000"/>
          <w:sz w:val="28"/>
          <w:szCs w:val="28"/>
        </w:rPr>
        <w:t>(2)询价响应文件字迹模糊不清(包括提交的各类复印件)。</w:t>
      </w:r>
    </w:p>
    <w:p>
      <w:pPr>
        <w:ind w:firstLine="280" w:firstLineChars="100"/>
        <w:rPr>
          <w:rFonts w:ascii="仿宋" w:hAnsi="仿宋" w:eastAsia="仿宋" w:cs="楷体_GB2312"/>
          <w:color w:val="000000"/>
          <w:sz w:val="28"/>
          <w:szCs w:val="28"/>
        </w:rPr>
      </w:pPr>
      <w:r>
        <w:rPr>
          <w:rFonts w:ascii="仿宋" w:hAnsi="仿宋" w:eastAsia="仿宋" w:cs="楷体_GB2312"/>
          <w:color w:val="000000"/>
          <w:sz w:val="28"/>
          <w:szCs w:val="28"/>
        </w:rPr>
        <w:t>(3)询价响应内容、技术标准、售后服务没有实质性响应询价文件要求。</w:t>
      </w:r>
    </w:p>
    <w:p>
      <w:pPr>
        <w:ind w:firstLine="420" w:firstLineChars="150"/>
        <w:rPr>
          <w:rFonts w:ascii="仿宋" w:hAnsi="仿宋" w:eastAsia="仿宋" w:cs="楷体_GB2312"/>
          <w:color w:val="000000"/>
          <w:sz w:val="28"/>
          <w:szCs w:val="28"/>
        </w:rPr>
      </w:pPr>
      <w:r>
        <w:rPr>
          <w:rFonts w:hint="eastAsia" w:ascii="仿宋" w:hAnsi="仿宋" w:eastAsia="仿宋" w:cs="楷体_GB2312"/>
          <w:color w:val="000000"/>
          <w:sz w:val="28"/>
          <w:szCs w:val="28"/>
        </w:rPr>
        <w:t>2、成交原则：在符合采购需求、质量和服务相等的前提下，以最低报价的供应商作为成交供应商，供应商报价和承诺一经认可，即为成交合同价，不可进行二次涨价。</w:t>
      </w:r>
    </w:p>
    <w:p>
      <w:pPr>
        <w:ind w:firstLine="4200" w:firstLineChars="1500"/>
        <w:rPr>
          <w:rFonts w:ascii="仿宋" w:hAnsi="仿宋" w:eastAsia="仿宋" w:cs="楷体_GB2312"/>
          <w:color w:val="000000"/>
          <w:sz w:val="28"/>
          <w:szCs w:val="28"/>
        </w:rPr>
      </w:pPr>
    </w:p>
    <w:p>
      <w:pPr>
        <w:ind w:firstLine="4200" w:firstLineChars="1500"/>
        <w:rPr>
          <w:rFonts w:ascii="仿宋" w:hAnsi="仿宋" w:eastAsia="仿宋" w:cs="楷体_GB2312"/>
          <w:color w:val="000000"/>
          <w:sz w:val="28"/>
          <w:szCs w:val="28"/>
        </w:rPr>
      </w:pPr>
    </w:p>
    <w:p>
      <w:pPr>
        <w:ind w:firstLine="2800" w:firstLineChars="1000"/>
        <w:rPr>
          <w:rFonts w:hint="eastAsia" w:ascii="仿宋" w:hAnsi="仿宋" w:eastAsia="仿宋" w:cs="楷体_GB2312"/>
          <w:color w:val="000000"/>
          <w:sz w:val="28"/>
          <w:szCs w:val="28"/>
        </w:rPr>
      </w:pPr>
      <w:r>
        <w:rPr>
          <w:rFonts w:hint="eastAsia" w:ascii="仿宋" w:hAnsi="仿宋" w:eastAsia="仿宋" w:cs="楷体_GB2312"/>
          <w:color w:val="000000"/>
          <w:sz w:val="28"/>
          <w:szCs w:val="28"/>
        </w:rPr>
        <w:t>地址：淮南市毛集实验区工业园区新集煤电办公楼</w:t>
      </w:r>
    </w:p>
    <w:p>
      <w:pPr>
        <w:ind w:firstLine="3640" w:firstLineChars="1300"/>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（九楼供应部）</w:t>
      </w:r>
    </w:p>
    <w:p>
      <w:pPr>
        <w:ind w:firstLine="2940" w:firstLineChars="1050"/>
        <w:rPr>
          <w:rFonts w:ascii="仿宋" w:hAnsi="仿宋" w:eastAsia="仿宋" w:cs="楷体_GB2312"/>
          <w:color w:val="000000"/>
          <w:sz w:val="28"/>
          <w:szCs w:val="28"/>
        </w:rPr>
      </w:pPr>
      <w:r>
        <w:rPr>
          <w:rFonts w:hint="eastAsia" w:ascii="仿宋" w:hAnsi="仿宋" w:eastAsia="仿宋" w:cs="楷体_GB2312"/>
          <w:color w:val="000000"/>
          <w:sz w:val="28"/>
          <w:szCs w:val="28"/>
        </w:rPr>
        <w:t>联系电话：0554-2311037</w:t>
      </w:r>
    </w:p>
    <w:p>
      <w:pPr>
        <w:ind w:firstLine="2940" w:firstLineChars="1050"/>
        <w:jc w:val="left"/>
        <w:rPr>
          <w:rFonts w:hint="eastAsia"/>
          <w:sz w:val="30"/>
          <w:szCs w:val="30"/>
        </w:rPr>
      </w:pPr>
      <w:r>
        <w:rPr>
          <w:rFonts w:hint="eastAsia" w:ascii="仿宋" w:hAnsi="仿宋" w:eastAsia="仿宋" w:cs="楷体_GB2312"/>
          <w:color w:val="000000"/>
          <w:sz w:val="28"/>
          <w:szCs w:val="28"/>
        </w:rPr>
        <w:t>日期：2020年</w:t>
      </w:r>
      <w:r>
        <w:rPr>
          <w:rFonts w:hint="eastAsia" w:ascii="仿宋" w:hAnsi="仿宋" w:eastAsia="仿宋" w:cs="楷体_GB2312"/>
          <w:color w:val="000000"/>
          <w:sz w:val="28"/>
          <w:szCs w:val="28"/>
          <w:lang w:val="en-US" w:eastAsia="zh-CN"/>
        </w:rPr>
        <w:t>4</w:t>
      </w:r>
      <w:r>
        <w:rPr>
          <w:rFonts w:hint="eastAsia" w:ascii="仿宋" w:hAnsi="仿宋" w:eastAsia="仿宋" w:cs="楷体_GB2312"/>
          <w:color w:val="000000"/>
          <w:sz w:val="28"/>
          <w:szCs w:val="28"/>
        </w:rPr>
        <w:t>月</w:t>
      </w:r>
      <w:r>
        <w:rPr>
          <w:rFonts w:hint="eastAsia" w:ascii="仿宋" w:hAnsi="仿宋" w:eastAsia="仿宋" w:cs="楷体_GB2312"/>
          <w:color w:val="000000"/>
          <w:sz w:val="28"/>
          <w:szCs w:val="28"/>
          <w:lang w:val="en-US" w:eastAsia="zh-CN"/>
        </w:rPr>
        <w:t>10</w:t>
      </w:r>
      <w:bookmarkStart w:id="0" w:name="_GoBack"/>
      <w:bookmarkEnd w:id="0"/>
      <w:r>
        <w:rPr>
          <w:rFonts w:hint="eastAsia" w:ascii="仿宋" w:hAnsi="仿宋" w:eastAsia="仿宋" w:cs="楷体_GB2312"/>
          <w:color w:val="000000"/>
          <w:sz w:val="28"/>
          <w:szCs w:val="28"/>
        </w:rPr>
        <w:t>日</w:t>
      </w:r>
    </w:p>
    <w:p>
      <w:pPr>
        <w:rPr>
          <w:sz w:val="30"/>
          <w:szCs w:val="30"/>
        </w:rPr>
      </w:pPr>
    </w:p>
    <w:sectPr>
      <w:pgSz w:w="11906" w:h="16838"/>
      <w:pgMar w:top="1418" w:right="1418"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2F5C69"/>
    <w:rsid w:val="0000514A"/>
    <w:rsid w:val="00005FA6"/>
    <w:rsid w:val="00045318"/>
    <w:rsid w:val="00054C7A"/>
    <w:rsid w:val="000A7A2A"/>
    <w:rsid w:val="000B5C69"/>
    <w:rsid w:val="001015E8"/>
    <w:rsid w:val="00110202"/>
    <w:rsid w:val="0011615F"/>
    <w:rsid w:val="00120E5F"/>
    <w:rsid w:val="00126337"/>
    <w:rsid w:val="001878DA"/>
    <w:rsid w:val="001C32B6"/>
    <w:rsid w:val="002329D1"/>
    <w:rsid w:val="00243AEA"/>
    <w:rsid w:val="002556C1"/>
    <w:rsid w:val="00284C99"/>
    <w:rsid w:val="00295304"/>
    <w:rsid w:val="002B369B"/>
    <w:rsid w:val="002C7F0C"/>
    <w:rsid w:val="002D41B8"/>
    <w:rsid w:val="002E3736"/>
    <w:rsid w:val="002E65FA"/>
    <w:rsid w:val="002E7EFB"/>
    <w:rsid w:val="002F159D"/>
    <w:rsid w:val="002F5C69"/>
    <w:rsid w:val="003218C5"/>
    <w:rsid w:val="00381940"/>
    <w:rsid w:val="003A05EA"/>
    <w:rsid w:val="003F3087"/>
    <w:rsid w:val="003F6329"/>
    <w:rsid w:val="004007F4"/>
    <w:rsid w:val="004133A1"/>
    <w:rsid w:val="004234F3"/>
    <w:rsid w:val="00450120"/>
    <w:rsid w:val="00476354"/>
    <w:rsid w:val="00493468"/>
    <w:rsid w:val="004C1294"/>
    <w:rsid w:val="004C4522"/>
    <w:rsid w:val="004D7873"/>
    <w:rsid w:val="004F0CC3"/>
    <w:rsid w:val="00521722"/>
    <w:rsid w:val="005A46B9"/>
    <w:rsid w:val="00612CC9"/>
    <w:rsid w:val="00724092"/>
    <w:rsid w:val="00735660"/>
    <w:rsid w:val="007417A5"/>
    <w:rsid w:val="007969A7"/>
    <w:rsid w:val="008238B4"/>
    <w:rsid w:val="0083514F"/>
    <w:rsid w:val="008372AD"/>
    <w:rsid w:val="00844F30"/>
    <w:rsid w:val="008652A8"/>
    <w:rsid w:val="00865CDB"/>
    <w:rsid w:val="008E798E"/>
    <w:rsid w:val="009007DE"/>
    <w:rsid w:val="00906976"/>
    <w:rsid w:val="009116DA"/>
    <w:rsid w:val="00926449"/>
    <w:rsid w:val="009676D8"/>
    <w:rsid w:val="009A2F3C"/>
    <w:rsid w:val="009A5B5C"/>
    <w:rsid w:val="009C0411"/>
    <w:rsid w:val="009C7A1D"/>
    <w:rsid w:val="009D7284"/>
    <w:rsid w:val="00A66C4C"/>
    <w:rsid w:val="00A76AD9"/>
    <w:rsid w:val="00AA036E"/>
    <w:rsid w:val="00AE03E6"/>
    <w:rsid w:val="00AE5ED2"/>
    <w:rsid w:val="00B02377"/>
    <w:rsid w:val="00B931F8"/>
    <w:rsid w:val="00C37895"/>
    <w:rsid w:val="00C61BFB"/>
    <w:rsid w:val="00C86A9C"/>
    <w:rsid w:val="00D46AF3"/>
    <w:rsid w:val="00D742A2"/>
    <w:rsid w:val="00D959B3"/>
    <w:rsid w:val="00DA5BE4"/>
    <w:rsid w:val="00DC0A24"/>
    <w:rsid w:val="00DC0F61"/>
    <w:rsid w:val="00DC5505"/>
    <w:rsid w:val="00DD4381"/>
    <w:rsid w:val="00DD633C"/>
    <w:rsid w:val="00EE1B88"/>
    <w:rsid w:val="00EE5D9D"/>
    <w:rsid w:val="00F21AA8"/>
    <w:rsid w:val="00F324B6"/>
    <w:rsid w:val="00F607AF"/>
    <w:rsid w:val="00F632A4"/>
    <w:rsid w:val="00FB6711"/>
    <w:rsid w:val="00FE04D2"/>
    <w:rsid w:val="00FE0A3A"/>
    <w:rsid w:val="00FE6F70"/>
    <w:rsid w:val="00FE7BE4"/>
    <w:rsid w:val="00FF0A14"/>
    <w:rsid w:val="0CA4400B"/>
    <w:rsid w:val="131840D7"/>
    <w:rsid w:val="13B452DE"/>
    <w:rsid w:val="15A32D3A"/>
    <w:rsid w:val="243E3700"/>
    <w:rsid w:val="310438EA"/>
    <w:rsid w:val="35186507"/>
    <w:rsid w:val="3DC14145"/>
    <w:rsid w:val="3F1625EF"/>
    <w:rsid w:val="42B029BC"/>
    <w:rsid w:val="46932F4A"/>
    <w:rsid w:val="46E76374"/>
    <w:rsid w:val="4D8E465E"/>
    <w:rsid w:val="54F5600C"/>
    <w:rsid w:val="5B1E24A6"/>
    <w:rsid w:val="69EB56CF"/>
    <w:rsid w:val="6C6742D2"/>
    <w:rsid w:val="701D27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spacing w:beforeAutospacing="1" w:afterAutospacing="1"/>
      <w:jc w:val="left"/>
      <w:outlineLvl w:val="0"/>
    </w:pPr>
    <w:rPr>
      <w:rFonts w:hint="eastAsia" w:ascii="宋体" w:hAnsi="宋体" w:eastAsia="宋体" w:cs="Times New Roman"/>
      <w:b/>
      <w:kern w:val="44"/>
      <w:sz w:val="48"/>
      <w:szCs w:val="48"/>
    </w:rPr>
  </w:style>
  <w:style w:type="character" w:default="1" w:styleId="9">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3">
    <w:name w:val="Date"/>
    <w:basedOn w:val="1"/>
    <w:next w:val="1"/>
    <w:link w:val="13"/>
    <w:semiHidden/>
    <w:unhideWhenUsed/>
    <w:qFormat/>
    <w:uiPriority w:val="99"/>
    <w:pPr>
      <w:ind w:left="100" w:leftChars="2500"/>
    </w:pPr>
  </w:style>
  <w:style w:type="paragraph" w:styleId="4">
    <w:name w:val="Balloon Text"/>
    <w:basedOn w:val="1"/>
    <w:link w:val="14"/>
    <w:semiHidden/>
    <w:unhideWhenUsed/>
    <w:qFormat/>
    <w:uiPriority w:val="99"/>
    <w:rPr>
      <w:sz w:val="18"/>
      <w:szCs w:val="18"/>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0">
    <w:name w:val="List Paragraph"/>
    <w:basedOn w:val="1"/>
    <w:qFormat/>
    <w:uiPriority w:val="34"/>
    <w:pPr>
      <w:ind w:firstLine="420" w:firstLineChars="200"/>
    </w:pPr>
  </w:style>
  <w:style w:type="character" w:customStyle="1" w:styleId="11">
    <w:name w:val="页眉 Char"/>
    <w:basedOn w:val="9"/>
    <w:link w:val="6"/>
    <w:qFormat/>
    <w:uiPriority w:val="99"/>
    <w:rPr>
      <w:sz w:val="18"/>
      <w:szCs w:val="18"/>
    </w:rPr>
  </w:style>
  <w:style w:type="character" w:customStyle="1" w:styleId="12">
    <w:name w:val="页脚 Char"/>
    <w:basedOn w:val="9"/>
    <w:link w:val="5"/>
    <w:qFormat/>
    <w:uiPriority w:val="99"/>
    <w:rPr>
      <w:sz w:val="18"/>
      <w:szCs w:val="18"/>
    </w:rPr>
  </w:style>
  <w:style w:type="character" w:customStyle="1" w:styleId="13">
    <w:name w:val="日期 Char"/>
    <w:basedOn w:val="9"/>
    <w:link w:val="3"/>
    <w:semiHidden/>
    <w:qFormat/>
    <w:uiPriority w:val="99"/>
  </w:style>
  <w:style w:type="character" w:customStyle="1" w:styleId="14">
    <w:name w:val="批注框文本 Char"/>
    <w:basedOn w:val="9"/>
    <w:link w:val="4"/>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ITianKong.Com</Company>
  <Pages>3</Pages>
  <Words>169</Words>
  <Characters>967</Characters>
  <Lines>8</Lines>
  <Paragraphs>2</Paragraphs>
  <TotalTime>55</TotalTime>
  <ScaleCrop>false</ScaleCrop>
  <LinksUpToDate>false</LinksUpToDate>
  <CharactersWithSpaces>1134</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2019-10-21T07:18:00Z</dcterms:created>
  <dc:creator>Administrator</dc:creator>
  <cp:lastModifiedBy>Administrator</cp:lastModifiedBy>
  <cp:lastPrinted>2019-10-22T02:53:00Z</cp:lastPrinted>
  <dcterms:modified xsi:type="dcterms:W3CDTF">2020-04-10T02:18:26Z</dcterms:modified>
  <cp:revision>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